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6D" w:rsidRDefault="000343F7" w:rsidP="000343F7">
      <w:pPr>
        <w:pStyle w:val="Heading1"/>
      </w:pPr>
      <w:r>
        <w:rPr>
          <w:color w:val="0F4F75"/>
        </w:rPr>
        <w:t xml:space="preserve">   </w:t>
      </w:r>
      <w:r w:rsidR="00CA736E">
        <w:rPr>
          <w:color w:val="0F4F75"/>
        </w:rPr>
        <w:t>St Joseph</w:t>
      </w:r>
      <w:r>
        <w:rPr>
          <w:color w:val="0F4F75"/>
        </w:rPr>
        <w:t>’s Pupil</w:t>
      </w:r>
      <w:r w:rsidR="00AB4067">
        <w:rPr>
          <w:color w:val="0F4F75"/>
        </w:rPr>
        <w:t xml:space="preserve"> premium strategy statement 2022</w:t>
      </w:r>
      <w:r w:rsidR="00921C97">
        <w:rPr>
          <w:color w:val="0F4F75"/>
        </w:rPr>
        <w:t>- 2023</w:t>
      </w: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spacing w:before="8"/>
        <w:rPr>
          <w:b/>
          <w:sz w:val="23"/>
        </w:rPr>
      </w:pPr>
    </w:p>
    <w:p w:rsidR="00413F6D" w:rsidRDefault="000343F7">
      <w:pPr>
        <w:spacing w:before="93"/>
        <w:ind w:left="112" w:right="660"/>
        <w:rPr>
          <w:sz w:val="20"/>
        </w:rPr>
      </w:pPr>
      <w:r>
        <w:rPr>
          <w:sz w:val="20"/>
        </w:rPr>
        <w:t>This statement details our school’s use of pupil premium (a</w:t>
      </w:r>
      <w:r w:rsidR="00AB4067">
        <w:rPr>
          <w:sz w:val="20"/>
        </w:rPr>
        <w:t>nd recovery premium for the 2022 to 2023</w:t>
      </w:r>
      <w:r>
        <w:rPr>
          <w:sz w:val="20"/>
        </w:rPr>
        <w:t xml:space="preserve"> academic year) funding to help improve the attainment of our disadvantaged pupils.</w:t>
      </w:r>
    </w:p>
    <w:p w:rsidR="00413F6D" w:rsidRDefault="00413F6D">
      <w:pPr>
        <w:spacing w:before="9"/>
        <w:rPr>
          <w:sz w:val="20"/>
        </w:rPr>
      </w:pPr>
    </w:p>
    <w:p w:rsidR="00413F6D" w:rsidRDefault="000343F7">
      <w:pPr>
        <w:ind w:left="112"/>
        <w:rPr>
          <w:sz w:val="20"/>
        </w:rPr>
      </w:pPr>
      <w:r>
        <w:rPr>
          <w:sz w:val="20"/>
        </w:rPr>
        <w:t>It outlines our pupil premium strategy, how we intend to spend the funding in this academic year and the effect that last year’s spending of pupil premium had within our school.</w:t>
      </w:r>
    </w:p>
    <w:p w:rsidR="00413F6D" w:rsidRDefault="00413F6D"/>
    <w:p w:rsidR="00413F6D" w:rsidRDefault="00413F6D">
      <w:pPr>
        <w:spacing w:before="7"/>
        <w:rPr>
          <w:sz w:val="19"/>
        </w:rPr>
      </w:pPr>
    </w:p>
    <w:p w:rsidR="00413F6D" w:rsidRDefault="000343F7">
      <w:pPr>
        <w:spacing w:before="1"/>
        <w:ind w:left="112"/>
        <w:rPr>
          <w:b/>
          <w:sz w:val="24"/>
        </w:rPr>
      </w:pPr>
      <w:r>
        <w:rPr>
          <w:b/>
          <w:color w:val="0F4F75"/>
          <w:sz w:val="24"/>
        </w:rPr>
        <w:t>School overview</w:t>
      </w:r>
    </w:p>
    <w:p w:rsidR="00413F6D" w:rsidRDefault="00413F6D">
      <w:pPr>
        <w:spacing w:before="2" w:after="1"/>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413F6D">
        <w:trPr>
          <w:trHeight w:val="350"/>
        </w:trPr>
        <w:tc>
          <w:tcPr>
            <w:tcW w:w="6520" w:type="dxa"/>
            <w:shd w:val="clear" w:color="auto" w:fill="00AFEF"/>
          </w:tcPr>
          <w:p w:rsidR="00413F6D" w:rsidRDefault="000343F7">
            <w:pPr>
              <w:pStyle w:val="TableParagraph"/>
              <w:spacing w:before="54"/>
              <w:rPr>
                <w:b/>
                <w:sz w:val="20"/>
              </w:rPr>
            </w:pPr>
            <w:r>
              <w:rPr>
                <w:b/>
                <w:color w:val="0D0D0D"/>
                <w:sz w:val="20"/>
              </w:rPr>
              <w:t>Detail</w:t>
            </w:r>
          </w:p>
        </w:tc>
        <w:tc>
          <w:tcPr>
            <w:tcW w:w="2970" w:type="dxa"/>
            <w:shd w:val="clear" w:color="auto" w:fill="00AFEF"/>
          </w:tcPr>
          <w:p w:rsidR="00413F6D" w:rsidRDefault="000343F7">
            <w:pPr>
              <w:pStyle w:val="TableParagraph"/>
              <w:spacing w:before="54"/>
              <w:ind w:left="165"/>
              <w:rPr>
                <w:b/>
                <w:sz w:val="20"/>
              </w:rPr>
            </w:pPr>
            <w:r>
              <w:rPr>
                <w:b/>
                <w:color w:val="0D0D0D"/>
                <w:sz w:val="20"/>
              </w:rPr>
              <w:t>Data</w:t>
            </w:r>
          </w:p>
        </w:tc>
      </w:tr>
      <w:tr w:rsidR="00413F6D">
        <w:trPr>
          <w:trHeight w:val="350"/>
        </w:trPr>
        <w:tc>
          <w:tcPr>
            <w:tcW w:w="6520" w:type="dxa"/>
          </w:tcPr>
          <w:p w:rsidR="00413F6D" w:rsidRDefault="000343F7">
            <w:pPr>
              <w:pStyle w:val="TableParagraph"/>
              <w:spacing w:before="57"/>
              <w:rPr>
                <w:sz w:val="20"/>
              </w:rPr>
            </w:pPr>
            <w:r>
              <w:rPr>
                <w:color w:val="0D0D0D"/>
                <w:sz w:val="20"/>
              </w:rPr>
              <w:t>Number of pupils in school</w:t>
            </w:r>
          </w:p>
        </w:tc>
        <w:tc>
          <w:tcPr>
            <w:tcW w:w="2970" w:type="dxa"/>
          </w:tcPr>
          <w:p w:rsidR="00413F6D" w:rsidRDefault="007B2973">
            <w:pPr>
              <w:pStyle w:val="TableParagraph"/>
              <w:spacing w:before="57"/>
              <w:ind w:left="165"/>
              <w:rPr>
                <w:sz w:val="20"/>
              </w:rPr>
            </w:pPr>
            <w:r>
              <w:rPr>
                <w:color w:val="0D0D0D"/>
                <w:sz w:val="20"/>
              </w:rPr>
              <w:t>241</w:t>
            </w:r>
          </w:p>
        </w:tc>
      </w:tr>
      <w:tr w:rsidR="00413F6D">
        <w:trPr>
          <w:trHeight w:val="350"/>
        </w:trPr>
        <w:tc>
          <w:tcPr>
            <w:tcW w:w="6520" w:type="dxa"/>
          </w:tcPr>
          <w:p w:rsidR="00413F6D" w:rsidRDefault="000343F7">
            <w:pPr>
              <w:pStyle w:val="TableParagraph"/>
              <w:spacing w:before="57"/>
              <w:rPr>
                <w:sz w:val="20"/>
              </w:rPr>
            </w:pPr>
            <w:r>
              <w:rPr>
                <w:color w:val="0D0D0D"/>
                <w:sz w:val="20"/>
              </w:rPr>
              <w:t>Proportion (%) of pupil premium eligible pupils</w:t>
            </w:r>
          </w:p>
        </w:tc>
        <w:tc>
          <w:tcPr>
            <w:tcW w:w="2970" w:type="dxa"/>
          </w:tcPr>
          <w:p w:rsidR="00413F6D" w:rsidRDefault="007B2973" w:rsidP="00FE551B">
            <w:pPr>
              <w:pStyle w:val="TableParagraph"/>
              <w:spacing w:before="57"/>
              <w:ind w:left="0"/>
              <w:rPr>
                <w:sz w:val="20"/>
              </w:rPr>
            </w:pPr>
            <w:r>
              <w:rPr>
                <w:color w:val="0D0D0D"/>
                <w:sz w:val="20"/>
              </w:rPr>
              <w:t xml:space="preserve">   27%</w:t>
            </w:r>
          </w:p>
        </w:tc>
      </w:tr>
      <w:tr w:rsidR="00413F6D">
        <w:trPr>
          <w:trHeight w:val="580"/>
        </w:trPr>
        <w:tc>
          <w:tcPr>
            <w:tcW w:w="6520" w:type="dxa"/>
          </w:tcPr>
          <w:p w:rsidR="00413F6D" w:rsidRDefault="000343F7">
            <w:pPr>
              <w:pStyle w:val="TableParagraph"/>
              <w:spacing w:before="57"/>
              <w:rPr>
                <w:b/>
                <w:sz w:val="20"/>
              </w:rPr>
            </w:pPr>
            <w:r>
              <w:rPr>
                <w:color w:val="0D0D0D"/>
                <w:sz w:val="20"/>
              </w:rPr>
              <w:t xml:space="preserve">Academic year/years that our current pupil premium strategy plan covers </w:t>
            </w:r>
            <w:r>
              <w:rPr>
                <w:b/>
                <w:color w:val="0D0D0D"/>
                <w:sz w:val="20"/>
              </w:rPr>
              <w:t>(3 year plans are recommended)</w:t>
            </w:r>
          </w:p>
        </w:tc>
        <w:tc>
          <w:tcPr>
            <w:tcW w:w="2970" w:type="dxa"/>
          </w:tcPr>
          <w:p w:rsidR="00413F6D" w:rsidRDefault="000343F7">
            <w:pPr>
              <w:pStyle w:val="TableParagraph"/>
              <w:spacing w:before="57"/>
              <w:ind w:left="165"/>
              <w:rPr>
                <w:sz w:val="20"/>
              </w:rPr>
            </w:pPr>
            <w:r>
              <w:rPr>
                <w:color w:val="0D0D0D"/>
                <w:sz w:val="20"/>
              </w:rPr>
              <w:t>3 years</w:t>
            </w:r>
          </w:p>
        </w:tc>
      </w:tr>
      <w:tr w:rsidR="00413F6D">
        <w:trPr>
          <w:trHeight w:val="350"/>
        </w:trPr>
        <w:tc>
          <w:tcPr>
            <w:tcW w:w="6520" w:type="dxa"/>
          </w:tcPr>
          <w:p w:rsidR="00413F6D" w:rsidRDefault="000343F7">
            <w:pPr>
              <w:pStyle w:val="TableParagraph"/>
              <w:spacing w:before="57"/>
              <w:rPr>
                <w:sz w:val="20"/>
              </w:rPr>
            </w:pPr>
            <w:r>
              <w:rPr>
                <w:color w:val="0D0D0D"/>
                <w:sz w:val="20"/>
              </w:rPr>
              <w:t>Date this statement was published</w:t>
            </w:r>
          </w:p>
        </w:tc>
        <w:tc>
          <w:tcPr>
            <w:tcW w:w="2970" w:type="dxa"/>
          </w:tcPr>
          <w:p w:rsidR="00413F6D" w:rsidRDefault="000343F7">
            <w:pPr>
              <w:pStyle w:val="TableParagraph"/>
              <w:spacing w:before="57"/>
              <w:ind w:left="165"/>
              <w:rPr>
                <w:sz w:val="20"/>
              </w:rPr>
            </w:pPr>
            <w:r>
              <w:rPr>
                <w:color w:val="0D0D0D"/>
                <w:sz w:val="20"/>
              </w:rPr>
              <w:t>15.12.21</w:t>
            </w:r>
          </w:p>
        </w:tc>
      </w:tr>
      <w:tr w:rsidR="00413F6D">
        <w:trPr>
          <w:trHeight w:val="350"/>
        </w:trPr>
        <w:tc>
          <w:tcPr>
            <w:tcW w:w="6520" w:type="dxa"/>
          </w:tcPr>
          <w:p w:rsidR="00413F6D" w:rsidRDefault="000343F7">
            <w:pPr>
              <w:pStyle w:val="TableParagraph"/>
              <w:spacing w:before="57"/>
              <w:rPr>
                <w:sz w:val="20"/>
              </w:rPr>
            </w:pPr>
            <w:r>
              <w:rPr>
                <w:color w:val="0D0D0D"/>
                <w:sz w:val="20"/>
              </w:rPr>
              <w:t>Date on which it will be reviewed</w:t>
            </w:r>
          </w:p>
        </w:tc>
        <w:tc>
          <w:tcPr>
            <w:tcW w:w="2970" w:type="dxa"/>
          </w:tcPr>
          <w:p w:rsidR="00413F6D" w:rsidRDefault="00CA736E">
            <w:pPr>
              <w:pStyle w:val="TableParagraph"/>
              <w:spacing w:before="57"/>
              <w:ind w:left="165"/>
              <w:rPr>
                <w:sz w:val="20"/>
              </w:rPr>
            </w:pPr>
            <w:r>
              <w:rPr>
                <w:color w:val="0D0D0D"/>
                <w:sz w:val="20"/>
              </w:rPr>
              <w:t>15.12.22</w:t>
            </w:r>
            <w:r w:rsidR="00957E90">
              <w:rPr>
                <w:color w:val="0D0D0D"/>
                <w:sz w:val="20"/>
              </w:rPr>
              <w:t>. 15.12.</w:t>
            </w:r>
            <w:r w:rsidR="00921C97">
              <w:rPr>
                <w:color w:val="0D0D0D"/>
                <w:sz w:val="20"/>
              </w:rPr>
              <w:t>23</w:t>
            </w:r>
            <w:r w:rsidR="00957E90">
              <w:rPr>
                <w:color w:val="0D0D0D"/>
                <w:sz w:val="20"/>
              </w:rPr>
              <w:t xml:space="preserve"> 15.12.24</w:t>
            </w:r>
            <w:bookmarkStart w:id="0" w:name="_GoBack"/>
            <w:bookmarkEnd w:id="0"/>
          </w:p>
        </w:tc>
      </w:tr>
      <w:tr w:rsidR="00413F6D">
        <w:trPr>
          <w:trHeight w:val="350"/>
        </w:trPr>
        <w:tc>
          <w:tcPr>
            <w:tcW w:w="6520" w:type="dxa"/>
          </w:tcPr>
          <w:p w:rsidR="00413F6D" w:rsidRDefault="000343F7">
            <w:pPr>
              <w:pStyle w:val="TableParagraph"/>
              <w:spacing w:before="57"/>
              <w:rPr>
                <w:sz w:val="20"/>
              </w:rPr>
            </w:pPr>
            <w:r>
              <w:rPr>
                <w:color w:val="0D0D0D"/>
                <w:sz w:val="20"/>
              </w:rPr>
              <w:t>Statement authorised by</w:t>
            </w:r>
          </w:p>
        </w:tc>
        <w:tc>
          <w:tcPr>
            <w:tcW w:w="2970" w:type="dxa"/>
          </w:tcPr>
          <w:p w:rsidR="00413F6D" w:rsidRDefault="00CA736E">
            <w:pPr>
              <w:pStyle w:val="TableParagraph"/>
              <w:spacing w:before="57"/>
              <w:ind w:left="107"/>
              <w:rPr>
                <w:sz w:val="20"/>
              </w:rPr>
            </w:pPr>
            <w:r>
              <w:rPr>
                <w:color w:val="0D0D0D"/>
                <w:sz w:val="20"/>
              </w:rPr>
              <w:t>E Eccles</w:t>
            </w:r>
          </w:p>
        </w:tc>
      </w:tr>
      <w:tr w:rsidR="00413F6D">
        <w:trPr>
          <w:trHeight w:val="350"/>
        </w:trPr>
        <w:tc>
          <w:tcPr>
            <w:tcW w:w="6520" w:type="dxa"/>
          </w:tcPr>
          <w:p w:rsidR="00413F6D" w:rsidRDefault="000343F7">
            <w:pPr>
              <w:pStyle w:val="TableParagraph"/>
              <w:spacing w:before="57"/>
              <w:rPr>
                <w:sz w:val="20"/>
              </w:rPr>
            </w:pPr>
            <w:r>
              <w:rPr>
                <w:color w:val="0D0D0D"/>
                <w:sz w:val="20"/>
              </w:rPr>
              <w:t>Pupil premium lead</w:t>
            </w:r>
          </w:p>
        </w:tc>
        <w:tc>
          <w:tcPr>
            <w:tcW w:w="2970" w:type="dxa"/>
          </w:tcPr>
          <w:p w:rsidR="00413F6D" w:rsidRDefault="007B2973">
            <w:pPr>
              <w:pStyle w:val="TableParagraph"/>
              <w:spacing w:before="57"/>
              <w:ind w:left="165"/>
              <w:rPr>
                <w:sz w:val="20"/>
              </w:rPr>
            </w:pPr>
            <w:r>
              <w:rPr>
                <w:color w:val="0D0D0D"/>
                <w:sz w:val="20"/>
              </w:rPr>
              <w:t>K.N</w:t>
            </w:r>
            <w:r w:rsidR="00CA736E">
              <w:rPr>
                <w:color w:val="0D0D0D"/>
                <w:sz w:val="20"/>
              </w:rPr>
              <w:t>athaniel</w:t>
            </w:r>
          </w:p>
        </w:tc>
      </w:tr>
      <w:tr w:rsidR="00413F6D">
        <w:trPr>
          <w:trHeight w:val="350"/>
        </w:trPr>
        <w:tc>
          <w:tcPr>
            <w:tcW w:w="6520" w:type="dxa"/>
          </w:tcPr>
          <w:p w:rsidR="00413F6D" w:rsidRDefault="000343F7">
            <w:pPr>
              <w:pStyle w:val="TableParagraph"/>
              <w:spacing w:before="57"/>
              <w:rPr>
                <w:sz w:val="20"/>
              </w:rPr>
            </w:pPr>
            <w:r>
              <w:rPr>
                <w:color w:val="0D0D0D"/>
                <w:sz w:val="20"/>
              </w:rPr>
              <w:t>Governor / Trustee lead</w:t>
            </w:r>
          </w:p>
        </w:tc>
        <w:tc>
          <w:tcPr>
            <w:tcW w:w="2970" w:type="dxa"/>
          </w:tcPr>
          <w:p w:rsidR="00413F6D" w:rsidRDefault="00CA736E">
            <w:pPr>
              <w:pStyle w:val="TableParagraph"/>
              <w:spacing w:before="57"/>
              <w:ind w:left="165"/>
              <w:rPr>
                <w:sz w:val="20"/>
              </w:rPr>
            </w:pPr>
            <w:r>
              <w:rPr>
                <w:color w:val="0D0D0D"/>
                <w:sz w:val="20"/>
              </w:rPr>
              <w:t>J.Miles</w:t>
            </w:r>
          </w:p>
        </w:tc>
      </w:tr>
    </w:tbl>
    <w:p w:rsidR="00413F6D" w:rsidRDefault="00413F6D">
      <w:pPr>
        <w:rPr>
          <w:b/>
          <w:sz w:val="26"/>
        </w:rPr>
      </w:pPr>
    </w:p>
    <w:p w:rsidR="00413F6D" w:rsidRDefault="000343F7">
      <w:pPr>
        <w:spacing w:before="176"/>
        <w:ind w:left="112"/>
        <w:rPr>
          <w:b/>
          <w:sz w:val="24"/>
        </w:rPr>
      </w:pPr>
      <w:r>
        <w:rPr>
          <w:b/>
          <w:color w:val="0F4F75"/>
          <w:sz w:val="24"/>
        </w:rPr>
        <w:t>Funding overview</w:t>
      </w:r>
    </w:p>
    <w:p w:rsidR="00413F6D" w:rsidRDefault="00413F6D">
      <w:pPr>
        <w:spacing w:before="3" w:after="1"/>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413F6D">
        <w:trPr>
          <w:trHeight w:val="374"/>
        </w:trPr>
        <w:tc>
          <w:tcPr>
            <w:tcW w:w="6517" w:type="dxa"/>
            <w:shd w:val="clear" w:color="auto" w:fill="00AFEF"/>
          </w:tcPr>
          <w:p w:rsidR="00413F6D" w:rsidRDefault="000343F7">
            <w:pPr>
              <w:pStyle w:val="TableParagraph"/>
              <w:spacing w:before="66"/>
              <w:rPr>
                <w:b/>
                <w:sz w:val="20"/>
              </w:rPr>
            </w:pPr>
            <w:r>
              <w:rPr>
                <w:b/>
                <w:color w:val="0D0D0D"/>
                <w:sz w:val="20"/>
              </w:rPr>
              <w:t>Detail</w:t>
            </w:r>
          </w:p>
        </w:tc>
        <w:tc>
          <w:tcPr>
            <w:tcW w:w="2971" w:type="dxa"/>
            <w:shd w:val="clear" w:color="auto" w:fill="00AFEF"/>
          </w:tcPr>
          <w:p w:rsidR="00413F6D" w:rsidRDefault="000343F7">
            <w:pPr>
              <w:pStyle w:val="TableParagraph"/>
              <w:spacing w:before="66"/>
              <w:rPr>
                <w:b/>
                <w:sz w:val="20"/>
              </w:rPr>
            </w:pPr>
            <w:r>
              <w:rPr>
                <w:b/>
                <w:color w:val="0D0D0D"/>
                <w:sz w:val="20"/>
              </w:rPr>
              <w:t>Amount</w:t>
            </w:r>
          </w:p>
        </w:tc>
      </w:tr>
      <w:tr w:rsidR="00413F6D">
        <w:trPr>
          <w:trHeight w:val="373"/>
        </w:trPr>
        <w:tc>
          <w:tcPr>
            <w:tcW w:w="6517" w:type="dxa"/>
          </w:tcPr>
          <w:p w:rsidR="00413F6D" w:rsidRDefault="000343F7">
            <w:pPr>
              <w:pStyle w:val="TableParagraph"/>
              <w:spacing w:before="69"/>
              <w:rPr>
                <w:sz w:val="20"/>
              </w:rPr>
            </w:pPr>
            <w:r>
              <w:rPr>
                <w:color w:val="0D0D0D"/>
                <w:sz w:val="20"/>
              </w:rPr>
              <w:t>Pupil premium funding allocation this academic year</w:t>
            </w:r>
          </w:p>
        </w:tc>
        <w:tc>
          <w:tcPr>
            <w:tcW w:w="2971" w:type="dxa"/>
          </w:tcPr>
          <w:p w:rsidR="00413F6D" w:rsidRDefault="007B2973">
            <w:pPr>
              <w:pStyle w:val="TableParagraph"/>
              <w:spacing w:before="57"/>
              <w:rPr>
                <w:sz w:val="20"/>
              </w:rPr>
            </w:pPr>
            <w:r>
              <w:rPr>
                <w:color w:val="0D0D0D"/>
                <w:sz w:val="20"/>
              </w:rPr>
              <w:t>£91,410</w:t>
            </w:r>
          </w:p>
        </w:tc>
      </w:tr>
      <w:tr w:rsidR="00413F6D">
        <w:trPr>
          <w:trHeight w:val="374"/>
        </w:trPr>
        <w:tc>
          <w:tcPr>
            <w:tcW w:w="6517" w:type="dxa"/>
          </w:tcPr>
          <w:p w:rsidR="00413F6D" w:rsidRDefault="000343F7">
            <w:pPr>
              <w:pStyle w:val="TableParagraph"/>
              <w:spacing w:before="69"/>
              <w:rPr>
                <w:sz w:val="20"/>
              </w:rPr>
            </w:pPr>
            <w:r>
              <w:rPr>
                <w:color w:val="0D0D0D"/>
                <w:sz w:val="20"/>
              </w:rPr>
              <w:t>Recovery premium funding allocation this academic year</w:t>
            </w:r>
          </w:p>
        </w:tc>
        <w:tc>
          <w:tcPr>
            <w:tcW w:w="2971" w:type="dxa"/>
          </w:tcPr>
          <w:p w:rsidR="00413F6D" w:rsidRDefault="007B2973">
            <w:pPr>
              <w:pStyle w:val="TableParagraph"/>
              <w:spacing w:before="57"/>
              <w:rPr>
                <w:sz w:val="20"/>
              </w:rPr>
            </w:pPr>
            <w:r>
              <w:rPr>
                <w:color w:val="0D0D0D"/>
                <w:sz w:val="20"/>
              </w:rPr>
              <w:t>£ 9570</w:t>
            </w:r>
          </w:p>
        </w:tc>
      </w:tr>
      <w:tr w:rsidR="00413F6D">
        <w:trPr>
          <w:trHeight w:val="580"/>
        </w:trPr>
        <w:tc>
          <w:tcPr>
            <w:tcW w:w="6517" w:type="dxa"/>
          </w:tcPr>
          <w:p w:rsidR="00413F6D" w:rsidRDefault="000343F7">
            <w:pPr>
              <w:pStyle w:val="TableParagraph"/>
              <w:spacing w:before="57"/>
              <w:ind w:right="211"/>
              <w:rPr>
                <w:sz w:val="20"/>
              </w:rPr>
            </w:pPr>
            <w:r>
              <w:rPr>
                <w:color w:val="0D0D0D"/>
                <w:sz w:val="20"/>
              </w:rPr>
              <w:t>Pupil premium funding carried forward from previous years (enter £0 if not applicable)</w:t>
            </w:r>
          </w:p>
        </w:tc>
        <w:tc>
          <w:tcPr>
            <w:tcW w:w="2971" w:type="dxa"/>
          </w:tcPr>
          <w:p w:rsidR="00413F6D" w:rsidRDefault="007B2973">
            <w:pPr>
              <w:pStyle w:val="TableParagraph"/>
              <w:spacing w:before="57"/>
              <w:rPr>
                <w:sz w:val="20"/>
              </w:rPr>
            </w:pPr>
            <w:r>
              <w:rPr>
                <w:color w:val="0D0D0D"/>
                <w:sz w:val="20"/>
              </w:rPr>
              <w:t>£5038</w:t>
            </w:r>
          </w:p>
        </w:tc>
      </w:tr>
      <w:tr w:rsidR="00413F6D">
        <w:trPr>
          <w:trHeight w:val="870"/>
        </w:trPr>
        <w:tc>
          <w:tcPr>
            <w:tcW w:w="6517" w:type="dxa"/>
          </w:tcPr>
          <w:p w:rsidR="00413F6D" w:rsidRDefault="000343F7">
            <w:pPr>
              <w:pStyle w:val="TableParagraph"/>
              <w:spacing w:before="54"/>
              <w:rPr>
                <w:b/>
                <w:sz w:val="20"/>
              </w:rPr>
            </w:pPr>
            <w:r>
              <w:rPr>
                <w:b/>
                <w:color w:val="0D0D0D"/>
                <w:sz w:val="20"/>
              </w:rPr>
              <w:t>Total budget for this academic year</w:t>
            </w:r>
          </w:p>
          <w:p w:rsidR="00413F6D" w:rsidRDefault="000343F7">
            <w:pPr>
              <w:pStyle w:val="TableParagraph"/>
              <w:spacing w:before="63"/>
              <w:ind w:right="211"/>
              <w:rPr>
                <w:sz w:val="20"/>
              </w:rPr>
            </w:pPr>
            <w:r>
              <w:rPr>
                <w:color w:val="0D0D0D"/>
                <w:sz w:val="20"/>
              </w:rPr>
              <w:t>If your school is an academy in a trust that pools this funding, state the amount available to your school this academic year</w:t>
            </w:r>
          </w:p>
        </w:tc>
        <w:tc>
          <w:tcPr>
            <w:tcW w:w="2971" w:type="dxa"/>
          </w:tcPr>
          <w:p w:rsidR="00413F6D" w:rsidRDefault="007B2973">
            <w:pPr>
              <w:pStyle w:val="TableParagraph"/>
              <w:spacing w:before="57"/>
              <w:rPr>
                <w:sz w:val="20"/>
              </w:rPr>
            </w:pPr>
            <w:r>
              <w:rPr>
                <w:color w:val="0D0D0D"/>
                <w:sz w:val="20"/>
              </w:rPr>
              <w:t>£106,018</w:t>
            </w:r>
          </w:p>
        </w:tc>
      </w:tr>
    </w:tbl>
    <w:p w:rsidR="00413F6D" w:rsidRDefault="00413F6D">
      <w:pPr>
        <w:rPr>
          <w:sz w:val="20"/>
        </w:rPr>
        <w:sectPr w:rsidR="00413F6D">
          <w:footerReference w:type="default" r:id="rId6"/>
          <w:type w:val="continuous"/>
          <w:pgSz w:w="11910" w:h="16840"/>
          <w:pgMar w:top="900" w:right="1160" w:bottom="980" w:left="1020" w:header="720" w:footer="781" w:gutter="0"/>
          <w:pgNumType w:start="1"/>
          <w:cols w:space="720"/>
        </w:sectPr>
      </w:pPr>
    </w:p>
    <w:p w:rsidR="00413F6D" w:rsidRDefault="000343F7">
      <w:pPr>
        <w:spacing w:before="62" w:line="600" w:lineRule="auto"/>
        <w:ind w:left="112" w:right="4837"/>
        <w:rPr>
          <w:b/>
          <w:sz w:val="28"/>
        </w:rPr>
      </w:pPr>
      <w:r>
        <w:rPr>
          <w:noProof/>
          <w:lang w:val="en-GB" w:eastAsia="en-GB"/>
        </w:rPr>
        <w:lastRenderedPageBreak/>
        <mc:AlternateContent>
          <mc:Choice Requires="wps">
            <w:drawing>
              <wp:anchor distT="0" distB="0" distL="114300" distR="114300" simplePos="0" relativeHeight="487335424" behindDoc="1" locked="0" layoutInCell="1" allowOverlap="1">
                <wp:simplePos x="0" y="0"/>
                <wp:positionH relativeFrom="page">
                  <wp:posOffset>722630</wp:posOffset>
                </wp:positionH>
                <wp:positionV relativeFrom="paragraph">
                  <wp:posOffset>911860</wp:posOffset>
                </wp:positionV>
                <wp:extent cx="6026150" cy="15379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379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3F6D" w:rsidRDefault="00CA736E">
                            <w:pPr>
                              <w:pStyle w:val="BodyText"/>
                              <w:spacing w:line="288" w:lineRule="auto"/>
                              <w:ind w:left="105" w:right="134"/>
                            </w:pPr>
                            <w:r>
                              <w:rPr>
                                <w:color w:val="0D0D0D"/>
                              </w:rPr>
                              <w:t xml:space="preserve">At St Joseph’s </w:t>
                            </w:r>
                            <w:r w:rsidR="000343F7">
                              <w:rPr>
                                <w:color w:val="0D0D0D"/>
                              </w:rPr>
                              <w:t>Primary School we have high aspirations and want every child to reach their full potential. We consider reading to be at the heart of this; we want all children to leave primary school as an engaged and confident reader and we prioritise reading to allow pupils to access the full curriculum. We want children to enjoy their learning and to engage in an exciting and fun curriculum that develops their knowledge and skills and provides them with new opportunities.</w:t>
                            </w:r>
                          </w:p>
                          <w:p w:rsidR="00413F6D" w:rsidRDefault="00413F6D">
                            <w:pPr>
                              <w:spacing w:before="4"/>
                              <w:rPr>
                                <w:i/>
                                <w:sz w:val="20"/>
                              </w:rPr>
                            </w:pPr>
                          </w:p>
                          <w:p w:rsidR="00413F6D" w:rsidRDefault="000343F7">
                            <w:pPr>
                              <w:pStyle w:val="BodyText"/>
                              <w:spacing w:before="1" w:line="288" w:lineRule="auto"/>
                              <w:ind w:left="105" w:right="134"/>
                            </w:pPr>
                            <w:r>
                              <w:rPr>
                                <w:color w:val="0D0D0D"/>
                              </w:rPr>
                              <w:t>We also believe that with the right teaching and learning all children can meet their potential regardless of their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9pt;margin-top:71.8pt;width:474.5pt;height:121.1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" filled="f" strokeweight=".48pt">
                <v:textbox inset="0,0,0,0">
                  <w:txbxContent>
                    <w:p w:rsidR="00413F6D" w:rsidRDefault="00CA736E">
                      <w:pPr>
                        <w:pStyle w:val="BodyText"/>
                        <w:spacing w:line="288" w:lineRule="auto"/>
                        <w:ind w:left="105" w:right="134"/>
                      </w:pPr>
                      <w:r>
                        <w:rPr>
                          <w:color w:val="0D0D0D"/>
                        </w:rPr>
                        <w:t xml:space="preserve">At St Joseph’s </w:t>
                      </w:r>
                      <w:r w:rsidR="000343F7">
                        <w:rPr>
                          <w:color w:val="0D0D0D"/>
                        </w:rPr>
                        <w:t>Primary School we have high aspirations and want every child to reach their full potential. We consider reading to be at the heart of this; we want all children to leave primary school as an engaged and confident reader and we prioritise reading to allow pupils to access the full curriculum. We want children to enjoy their learning and to engage in an exciting and fun curriculum that develops their knowledge and skills and provides them with new opportunities.</w:t>
                      </w:r>
                    </w:p>
                    <w:p w:rsidR="00413F6D" w:rsidRDefault="00413F6D">
                      <w:pPr>
                        <w:spacing w:before="4"/>
                        <w:rPr>
                          <w:i/>
                          <w:sz w:val="20"/>
                        </w:rPr>
                      </w:pPr>
                    </w:p>
                    <w:p w:rsidR="00413F6D" w:rsidRDefault="000343F7">
                      <w:pPr>
                        <w:pStyle w:val="BodyText"/>
                        <w:spacing w:before="1" w:line="288" w:lineRule="auto"/>
                        <w:ind w:left="105" w:right="134"/>
                      </w:pPr>
                      <w:r>
                        <w:rPr>
                          <w:color w:val="0D0D0D"/>
                        </w:rPr>
                        <w:t>We also believe that with the right teaching and learning all children can meet their potential regardless of their background.</w:t>
                      </w:r>
                    </w:p>
                  </w:txbxContent>
                </v:textbox>
                <w10:wrap anchorx="page"/>
              </v:shape>
            </w:pict>
          </mc:Fallback>
        </mc:AlternateContent>
      </w:r>
      <w:r>
        <w:rPr>
          <w:b/>
          <w:color w:val="0F4F75"/>
          <w:sz w:val="28"/>
        </w:rPr>
        <w:t>Part A: Pup</w:t>
      </w:r>
      <w:r w:rsidR="00CA736E">
        <w:rPr>
          <w:b/>
          <w:color w:val="0F4F75"/>
          <w:sz w:val="28"/>
        </w:rPr>
        <w:t>il premium strategy plan Stateme</w:t>
      </w:r>
      <w:r>
        <w:rPr>
          <w:b/>
          <w:color w:val="0F4F75"/>
          <w:sz w:val="28"/>
        </w:rPr>
        <w:t>nt of intent</w:t>
      </w: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0343F7">
      <w:pPr>
        <w:spacing w:before="258"/>
        <w:ind w:left="112"/>
        <w:rPr>
          <w:b/>
          <w:color w:val="0F4F75"/>
          <w:sz w:val="28"/>
        </w:rPr>
      </w:pPr>
      <w:r>
        <w:rPr>
          <w:b/>
          <w:color w:val="0F4F75"/>
          <w:sz w:val="28"/>
        </w:rPr>
        <w:t>Challenges</w:t>
      </w:r>
    </w:p>
    <w:p w:rsidR="00AB4067" w:rsidRPr="00AB4067" w:rsidRDefault="00AB4067">
      <w:pPr>
        <w:spacing w:before="258"/>
        <w:ind w:left="112"/>
        <w:rPr>
          <w:sz w:val="16"/>
          <w:szCs w:val="16"/>
        </w:rPr>
      </w:pPr>
      <w:r w:rsidRPr="00AB4067">
        <w:rPr>
          <w:sz w:val="16"/>
          <w:szCs w:val="16"/>
        </w:rPr>
        <w:t>This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1513"/>
        <w:gridCol w:w="8207"/>
      </w:tblGrid>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B2973" w:rsidRDefault="007B2973" w:rsidP="00D42786">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B2973" w:rsidRDefault="007B2973" w:rsidP="00D42786">
            <w:pPr>
              <w:pStyle w:val="TableHeader"/>
              <w:jc w:val="left"/>
            </w:pPr>
            <w:r>
              <w:t xml:space="preserve">Detail of challenge </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Pr="00FB41BF" w:rsidRDefault="007B2973" w:rsidP="00D42786">
            <w:pPr>
              <w:pStyle w:val="TableRowCentered"/>
              <w:jc w:val="left"/>
            </w:pPr>
            <w:r>
              <w:rPr>
                <w:i/>
                <w:iCs/>
                <w:sz w:val="22"/>
                <w:szCs w:val="22"/>
              </w:rPr>
              <w:t xml:space="preserve"> </w:t>
            </w:r>
            <w:r w:rsidRPr="00FB41BF">
              <w:rPr>
                <w:iCs/>
                <w:sz w:val="22"/>
                <w:szCs w:val="22"/>
              </w:rPr>
              <w:t>A large number of children enter Nursery well below the expected standard particularly in Communication and Literacy and Personal, Social</w:t>
            </w:r>
            <w:r w:rsidRPr="00FB41BF">
              <w:t xml:space="preserve"> </w:t>
            </w:r>
            <w:r w:rsidRPr="00FB41BF">
              <w:rPr>
                <w:iCs/>
                <w:sz w:val="22"/>
                <w:szCs w:val="22"/>
              </w:rPr>
              <w:t>and Emotional skills.</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sz w:val="22"/>
                <w:szCs w:val="22"/>
              </w:rPr>
            </w:pPr>
            <w:r w:rsidRPr="007B2973">
              <w:rPr>
                <w:sz w:val="22"/>
                <w:szCs w:val="22"/>
              </w:rPr>
              <w:t>Weaker phonics and reading attainment in EYFS and KS1 due to direct impact of the pandemic and school closure</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sz w:val="22"/>
                <w:szCs w:val="22"/>
              </w:rPr>
            </w:pPr>
            <w:r w:rsidRPr="007B2973">
              <w:rPr>
                <w:sz w:val="22"/>
                <w:szCs w:val="22"/>
              </w:rPr>
              <w:t>Impact of lockdown on widening the gap between PP and non-pupil premium in English and Maths; engagement with remote learning</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iCs/>
                <w:sz w:val="22"/>
              </w:rPr>
            </w:pPr>
            <w:r w:rsidRPr="007B2973">
              <w:rPr>
                <w:iCs/>
                <w:sz w:val="22"/>
              </w:rPr>
              <w:t>Limited experiences beyond that of home life or the local community</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iCs/>
                <w:sz w:val="22"/>
              </w:rPr>
            </w:pPr>
            <w:r w:rsidRPr="007B2973">
              <w:rPr>
                <w:iCs/>
                <w:sz w:val="22"/>
              </w:rPr>
              <w:t>Emotional well-being concerns</w:t>
            </w:r>
          </w:p>
        </w:tc>
      </w:tr>
    </w:tbl>
    <w:p w:rsidR="00413F6D" w:rsidRDefault="00413F6D">
      <w:pPr>
        <w:spacing w:before="10"/>
        <w:rPr>
          <w:sz w:val="19"/>
        </w:rPr>
      </w:pPr>
    </w:p>
    <w:p w:rsidR="00413F6D" w:rsidRDefault="000343F7">
      <w:pPr>
        <w:ind w:left="112"/>
        <w:rPr>
          <w:b/>
          <w:sz w:val="28"/>
        </w:rPr>
      </w:pPr>
      <w:r>
        <w:rPr>
          <w:b/>
          <w:color w:val="0F4F75"/>
          <w:sz w:val="28"/>
        </w:rPr>
        <w:t>Intended outcomes</w:t>
      </w:r>
    </w:p>
    <w:p w:rsidR="00413F6D" w:rsidRDefault="000343F7">
      <w:pPr>
        <w:spacing w:before="239"/>
        <w:ind w:left="112"/>
        <w:rPr>
          <w:sz w:val="14"/>
        </w:rPr>
      </w:pPr>
      <w:r>
        <w:rPr>
          <w:sz w:val="14"/>
        </w:rPr>
        <w:t xml:space="preserve">This explains the outcomes we are aiming for </w:t>
      </w:r>
      <w:r>
        <w:rPr>
          <w:b/>
          <w:sz w:val="14"/>
        </w:rPr>
        <w:t>by the end of our current strategy plan</w:t>
      </w:r>
      <w:r>
        <w:rPr>
          <w:sz w:val="14"/>
        </w:rPr>
        <w:t>, and how we will measure whether they have been achieved.</w:t>
      </w:r>
    </w:p>
    <w:p w:rsidR="00413F6D" w:rsidRDefault="00413F6D">
      <w:pPr>
        <w:spacing w:before="2"/>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413F6D">
        <w:trPr>
          <w:trHeight w:val="395"/>
        </w:trPr>
        <w:tc>
          <w:tcPr>
            <w:tcW w:w="4815" w:type="dxa"/>
            <w:shd w:val="clear" w:color="auto" w:fill="D7E1E9"/>
          </w:tcPr>
          <w:p w:rsidR="00413F6D" w:rsidRDefault="000343F7">
            <w:pPr>
              <w:pStyle w:val="TableParagraph"/>
              <w:spacing w:before="55"/>
              <w:rPr>
                <w:b/>
                <w:sz w:val="24"/>
              </w:rPr>
            </w:pPr>
            <w:r>
              <w:rPr>
                <w:b/>
                <w:color w:val="0D0D0D"/>
                <w:sz w:val="24"/>
              </w:rPr>
              <w:t>Intended outcome</w:t>
            </w:r>
          </w:p>
        </w:tc>
        <w:tc>
          <w:tcPr>
            <w:tcW w:w="4673" w:type="dxa"/>
            <w:shd w:val="clear" w:color="auto" w:fill="D7E1E9"/>
          </w:tcPr>
          <w:p w:rsidR="00413F6D" w:rsidRDefault="000343F7">
            <w:pPr>
              <w:pStyle w:val="TableParagraph"/>
              <w:spacing w:before="55"/>
              <w:rPr>
                <w:b/>
                <w:sz w:val="24"/>
              </w:rPr>
            </w:pPr>
            <w:r>
              <w:rPr>
                <w:b/>
                <w:color w:val="0D0D0D"/>
                <w:sz w:val="24"/>
              </w:rPr>
              <w:t>Success criteria</w:t>
            </w:r>
          </w:p>
        </w:tc>
      </w:tr>
      <w:tr w:rsidR="00413F6D">
        <w:trPr>
          <w:trHeight w:val="534"/>
        </w:trPr>
        <w:tc>
          <w:tcPr>
            <w:tcW w:w="4815" w:type="dxa"/>
          </w:tcPr>
          <w:p w:rsidR="00413F6D" w:rsidRDefault="000343F7">
            <w:pPr>
              <w:pStyle w:val="TableParagraph"/>
              <w:spacing w:before="59"/>
              <w:ind w:right="184"/>
              <w:rPr>
                <w:sz w:val="18"/>
              </w:rPr>
            </w:pPr>
            <w:r>
              <w:rPr>
                <w:color w:val="0D0D0D"/>
                <w:sz w:val="18"/>
              </w:rPr>
              <w:t>Accelerated progress form entry to the EYFS to the end of KS1</w:t>
            </w:r>
          </w:p>
        </w:tc>
        <w:tc>
          <w:tcPr>
            <w:tcW w:w="4673" w:type="dxa"/>
          </w:tcPr>
          <w:p w:rsidR="00413F6D" w:rsidRDefault="000343F7">
            <w:pPr>
              <w:pStyle w:val="TableParagraph"/>
              <w:spacing w:before="59"/>
              <w:rPr>
                <w:sz w:val="18"/>
              </w:rPr>
            </w:pPr>
            <w:r>
              <w:rPr>
                <w:color w:val="0D0D0D"/>
                <w:sz w:val="18"/>
              </w:rPr>
              <w:t>KS1 aspirational targets are achieved</w:t>
            </w:r>
          </w:p>
        </w:tc>
      </w:tr>
      <w:tr w:rsidR="00413F6D">
        <w:trPr>
          <w:trHeight w:val="1153"/>
        </w:trPr>
        <w:tc>
          <w:tcPr>
            <w:tcW w:w="4815" w:type="dxa"/>
          </w:tcPr>
          <w:p w:rsidR="00413F6D" w:rsidRDefault="000343F7">
            <w:pPr>
              <w:pStyle w:val="TableParagraph"/>
              <w:spacing w:before="59"/>
              <w:ind w:right="204"/>
              <w:rPr>
                <w:sz w:val="18"/>
              </w:rPr>
            </w:pPr>
            <w:r>
              <w:rPr>
                <w:color w:val="0D0D0D"/>
                <w:sz w:val="18"/>
              </w:rPr>
              <w:t>In KS1, Children who have fallen behind receive high quality teaching and learning. Disadvantaged pupils who have fallen behind make accelerated progress and the gap between them and their peers narrow in reading, wring and Maths.</w:t>
            </w:r>
          </w:p>
        </w:tc>
        <w:tc>
          <w:tcPr>
            <w:tcW w:w="4673" w:type="dxa"/>
          </w:tcPr>
          <w:p w:rsidR="00413F6D" w:rsidRDefault="000343F7">
            <w:pPr>
              <w:pStyle w:val="TableParagraph"/>
              <w:spacing w:before="59" w:line="309" w:lineRule="auto"/>
              <w:ind w:right="1773"/>
              <w:rPr>
                <w:sz w:val="18"/>
              </w:rPr>
            </w:pPr>
            <w:r>
              <w:rPr>
                <w:color w:val="0D0D0D"/>
                <w:sz w:val="18"/>
              </w:rPr>
              <w:t>Narrow the attainment gap in KS1 Progress data</w:t>
            </w:r>
          </w:p>
        </w:tc>
      </w:tr>
      <w:tr w:rsidR="00413F6D">
        <w:trPr>
          <w:trHeight w:val="741"/>
        </w:trPr>
        <w:tc>
          <w:tcPr>
            <w:tcW w:w="4815" w:type="dxa"/>
          </w:tcPr>
          <w:p w:rsidR="00413F6D" w:rsidRDefault="00CA736E">
            <w:pPr>
              <w:pStyle w:val="TableParagraph"/>
              <w:spacing w:before="59"/>
              <w:ind w:right="184"/>
              <w:rPr>
                <w:sz w:val="18"/>
              </w:rPr>
            </w:pPr>
            <w:r>
              <w:rPr>
                <w:color w:val="0D0D0D"/>
                <w:sz w:val="18"/>
              </w:rPr>
              <w:t>In KS2 TAs</w:t>
            </w:r>
            <w:r w:rsidR="00FE551B">
              <w:rPr>
                <w:color w:val="0D0D0D"/>
                <w:sz w:val="18"/>
              </w:rPr>
              <w:t xml:space="preserve"> allocated to reading wri</w:t>
            </w:r>
            <w:r w:rsidR="00AB4067">
              <w:rPr>
                <w:color w:val="0D0D0D"/>
                <w:sz w:val="18"/>
              </w:rPr>
              <w:t>t</w:t>
            </w:r>
            <w:r w:rsidR="00FE551B">
              <w:rPr>
                <w:color w:val="0D0D0D"/>
                <w:sz w:val="18"/>
              </w:rPr>
              <w:t xml:space="preserve">ng and </w:t>
            </w:r>
            <w:r w:rsidR="000343F7">
              <w:rPr>
                <w:color w:val="0D0D0D"/>
                <w:sz w:val="18"/>
              </w:rPr>
              <w:t>M</w:t>
            </w:r>
            <w:r w:rsidR="00FE551B">
              <w:rPr>
                <w:color w:val="0D0D0D"/>
                <w:sz w:val="18"/>
              </w:rPr>
              <w:t>aths to ensure</w:t>
            </w:r>
            <w:r w:rsidR="000343F7">
              <w:rPr>
                <w:color w:val="0D0D0D"/>
                <w:sz w:val="18"/>
              </w:rPr>
              <w:t xml:space="preserve"> that disadvantaged pupils make progress in line with their last statutory data set.</w:t>
            </w:r>
          </w:p>
        </w:tc>
        <w:tc>
          <w:tcPr>
            <w:tcW w:w="4673" w:type="dxa"/>
          </w:tcPr>
          <w:p w:rsidR="00413F6D" w:rsidRDefault="000343F7">
            <w:pPr>
              <w:pStyle w:val="TableParagraph"/>
              <w:spacing w:before="59"/>
              <w:ind w:right="183"/>
              <w:rPr>
                <w:sz w:val="18"/>
              </w:rPr>
            </w:pPr>
            <w:r>
              <w:rPr>
                <w:color w:val="0D0D0D"/>
                <w:sz w:val="18"/>
              </w:rPr>
              <w:t>The majority of children are on track in all year groups and have made expected progress when comparing with historic data.</w:t>
            </w:r>
          </w:p>
        </w:tc>
      </w:tr>
      <w:tr w:rsidR="00413F6D">
        <w:trPr>
          <w:trHeight w:val="801"/>
        </w:trPr>
        <w:tc>
          <w:tcPr>
            <w:tcW w:w="4815" w:type="dxa"/>
          </w:tcPr>
          <w:p w:rsidR="00413F6D" w:rsidRDefault="000343F7">
            <w:pPr>
              <w:pStyle w:val="TableParagraph"/>
              <w:spacing w:before="59"/>
              <w:ind w:right="834"/>
              <w:rPr>
                <w:sz w:val="18"/>
              </w:rPr>
            </w:pPr>
            <w:r>
              <w:rPr>
                <w:color w:val="0D0D0D"/>
                <w:sz w:val="18"/>
              </w:rPr>
              <w:t>Improved mental calculation and ability to apply mathematical thinking improves progress and attainment in Maths across the school.</w:t>
            </w:r>
          </w:p>
        </w:tc>
        <w:tc>
          <w:tcPr>
            <w:tcW w:w="4673" w:type="dxa"/>
          </w:tcPr>
          <w:p w:rsidR="00413F6D" w:rsidRDefault="000343F7">
            <w:pPr>
              <w:pStyle w:val="TableParagraph"/>
              <w:spacing w:before="59"/>
              <w:rPr>
                <w:sz w:val="18"/>
              </w:rPr>
            </w:pPr>
            <w:r>
              <w:rPr>
                <w:color w:val="0D0D0D"/>
                <w:sz w:val="18"/>
              </w:rPr>
              <w:t>Maths progress and attainment data</w:t>
            </w:r>
          </w:p>
          <w:p w:rsidR="00413F6D" w:rsidRDefault="000343F7">
            <w:pPr>
              <w:pStyle w:val="TableParagraph"/>
              <w:spacing w:before="59"/>
              <w:ind w:right="802"/>
              <w:rPr>
                <w:sz w:val="18"/>
              </w:rPr>
            </w:pPr>
            <w:r>
              <w:rPr>
                <w:color w:val="0D0D0D"/>
                <w:sz w:val="18"/>
              </w:rPr>
              <w:t>Gap between disadvantaged children and non narrows.</w:t>
            </w:r>
          </w:p>
        </w:tc>
      </w:tr>
      <w:tr w:rsidR="00413F6D">
        <w:trPr>
          <w:trHeight w:val="532"/>
        </w:trPr>
        <w:tc>
          <w:tcPr>
            <w:tcW w:w="4815" w:type="dxa"/>
          </w:tcPr>
          <w:p w:rsidR="00413F6D" w:rsidRDefault="000343F7">
            <w:pPr>
              <w:pStyle w:val="TableParagraph"/>
              <w:spacing w:before="59"/>
              <w:ind w:right="244"/>
              <w:rPr>
                <w:sz w:val="18"/>
              </w:rPr>
            </w:pPr>
            <w:r>
              <w:rPr>
                <w:color w:val="0D0D0D"/>
                <w:sz w:val="18"/>
              </w:rPr>
              <w:t>Pupils identified with social and emotional needs are identified and provided with the support that they need.</w:t>
            </w:r>
          </w:p>
        </w:tc>
        <w:tc>
          <w:tcPr>
            <w:tcW w:w="4673" w:type="dxa"/>
          </w:tcPr>
          <w:p w:rsidR="00413F6D" w:rsidRDefault="000343F7">
            <w:pPr>
              <w:pStyle w:val="TableParagraph"/>
              <w:spacing w:before="59"/>
              <w:rPr>
                <w:sz w:val="18"/>
              </w:rPr>
            </w:pPr>
            <w:r>
              <w:rPr>
                <w:color w:val="0D0D0D"/>
                <w:sz w:val="18"/>
              </w:rPr>
              <w:t>Interventions impact on engagement with learning</w:t>
            </w:r>
          </w:p>
        </w:tc>
      </w:tr>
      <w:tr w:rsidR="00413F6D">
        <w:trPr>
          <w:trHeight w:val="534"/>
        </w:trPr>
        <w:tc>
          <w:tcPr>
            <w:tcW w:w="4815" w:type="dxa"/>
          </w:tcPr>
          <w:p w:rsidR="00413F6D" w:rsidRDefault="000343F7">
            <w:pPr>
              <w:pStyle w:val="TableParagraph"/>
              <w:spacing w:before="61"/>
              <w:rPr>
                <w:sz w:val="18"/>
              </w:rPr>
            </w:pPr>
            <w:r>
              <w:rPr>
                <w:color w:val="0D0D0D"/>
                <w:sz w:val="18"/>
              </w:rPr>
              <w:t>Enhance the curriculum through Arts, visits and trips</w:t>
            </w:r>
          </w:p>
        </w:tc>
        <w:tc>
          <w:tcPr>
            <w:tcW w:w="4673" w:type="dxa"/>
          </w:tcPr>
          <w:p w:rsidR="00413F6D" w:rsidRDefault="000343F7">
            <w:pPr>
              <w:pStyle w:val="TableParagraph"/>
              <w:spacing w:before="61"/>
              <w:ind w:right="352"/>
              <w:rPr>
                <w:sz w:val="18"/>
              </w:rPr>
            </w:pPr>
            <w:r>
              <w:rPr>
                <w:color w:val="0D0D0D"/>
                <w:sz w:val="18"/>
              </w:rPr>
              <w:t>Improve engagement and dispositions and attitudes with learning</w:t>
            </w:r>
          </w:p>
        </w:tc>
      </w:tr>
    </w:tbl>
    <w:p w:rsidR="00413F6D" w:rsidRDefault="00413F6D">
      <w:pPr>
        <w:rPr>
          <w:sz w:val="18"/>
        </w:rPr>
        <w:sectPr w:rsidR="00413F6D">
          <w:pgSz w:w="11910" w:h="16840"/>
          <w:pgMar w:top="900" w:right="1160" w:bottom="980" w:left="1020" w:header="0" w:footer="781" w:gutter="0"/>
          <w:cols w:space="720"/>
        </w:sectPr>
      </w:pPr>
    </w:p>
    <w:p w:rsidR="00413F6D" w:rsidRDefault="000343F7">
      <w:pPr>
        <w:pStyle w:val="Heading2"/>
        <w:spacing w:before="62"/>
      </w:pPr>
      <w:r>
        <w:rPr>
          <w:color w:val="205768"/>
        </w:rPr>
        <w:t>Activity in this academic</w:t>
      </w:r>
      <w:r>
        <w:rPr>
          <w:color w:val="205768"/>
          <w:spacing w:val="-3"/>
        </w:rPr>
        <w:t xml:space="preserve"> year</w:t>
      </w:r>
    </w:p>
    <w:p w:rsidR="00413F6D" w:rsidRDefault="00413F6D">
      <w:pPr>
        <w:rPr>
          <w:b/>
          <w:sz w:val="28"/>
        </w:rPr>
      </w:pPr>
    </w:p>
    <w:p w:rsidR="00413F6D" w:rsidRDefault="000343F7">
      <w:pPr>
        <w:spacing w:line="288" w:lineRule="auto"/>
        <w:ind w:left="112" w:right="504"/>
        <w:rPr>
          <w:sz w:val="20"/>
        </w:rPr>
      </w:pPr>
      <w:r>
        <w:rPr>
          <w:color w:val="0D0D0D"/>
          <w:sz w:val="20"/>
        </w:rPr>
        <w:t xml:space="preserve">This details how we intend to spend our pupil premium (and recovery premium funding) </w:t>
      </w:r>
      <w:r>
        <w:rPr>
          <w:b/>
          <w:color w:val="0D0D0D"/>
          <w:sz w:val="20"/>
        </w:rPr>
        <w:t xml:space="preserve">this academic year </w:t>
      </w:r>
      <w:r>
        <w:rPr>
          <w:color w:val="0D0D0D"/>
          <w:sz w:val="20"/>
        </w:rPr>
        <w:t>to address the challenges listed above.</w:t>
      </w:r>
    </w:p>
    <w:p w:rsidR="00413F6D" w:rsidRDefault="00413F6D"/>
    <w:p w:rsidR="00413F6D" w:rsidRDefault="00413F6D">
      <w:pPr>
        <w:spacing w:before="9"/>
        <w:rPr>
          <w:sz w:val="19"/>
        </w:rPr>
      </w:pPr>
    </w:p>
    <w:p w:rsidR="00413F6D" w:rsidRDefault="000343F7">
      <w:pPr>
        <w:spacing w:before="1"/>
        <w:ind w:left="112"/>
        <w:rPr>
          <w:b/>
          <w:sz w:val="24"/>
        </w:rPr>
      </w:pPr>
      <w:r>
        <w:rPr>
          <w:b/>
          <w:color w:val="0F4F75"/>
          <w:sz w:val="24"/>
        </w:rPr>
        <w:t>Teaching (for example, CPD, recruitment and retention)</w:t>
      </w:r>
    </w:p>
    <w:p w:rsidR="00413F6D" w:rsidRDefault="00413F6D">
      <w:pPr>
        <w:spacing w:before="9"/>
        <w:rPr>
          <w:b/>
          <w:sz w:val="20"/>
        </w:rPr>
      </w:pPr>
    </w:p>
    <w:p w:rsidR="00413F6D" w:rsidRDefault="00FB41BF">
      <w:pPr>
        <w:spacing w:before="1"/>
        <w:ind w:left="112"/>
        <w:rPr>
          <w:sz w:val="24"/>
        </w:rPr>
      </w:pPr>
      <w:r>
        <w:rPr>
          <w:color w:val="0D0D0D"/>
          <w:sz w:val="24"/>
        </w:rPr>
        <w:t>Budgeted cost: £95610</w:t>
      </w:r>
    </w:p>
    <w:p w:rsidR="00413F6D" w:rsidRDefault="00413F6D">
      <w:pPr>
        <w:spacing w:after="1"/>
        <w:rPr>
          <w:sz w:val="26"/>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7"/>
        </w:trPr>
        <w:tc>
          <w:tcPr>
            <w:tcW w:w="2688" w:type="dxa"/>
            <w:shd w:val="clear" w:color="auto" w:fill="D7E1E9"/>
          </w:tcPr>
          <w:p w:rsidR="00FE551B" w:rsidRDefault="00FE551B">
            <w:pPr>
              <w:pStyle w:val="TableParagraph"/>
              <w:spacing w:before="55"/>
              <w:rPr>
                <w:b/>
                <w:sz w:val="24"/>
              </w:rPr>
            </w:pPr>
            <w:r>
              <w:rPr>
                <w:b/>
                <w:color w:val="0D0D0D"/>
                <w:sz w:val="24"/>
              </w:rPr>
              <w:t>Activity</w:t>
            </w:r>
          </w:p>
        </w:tc>
        <w:tc>
          <w:tcPr>
            <w:tcW w:w="4256" w:type="dxa"/>
            <w:shd w:val="clear" w:color="auto" w:fill="D7E1E9"/>
          </w:tcPr>
          <w:p w:rsidR="00FE551B" w:rsidRDefault="00FE551B">
            <w:pPr>
              <w:pStyle w:val="TableParagraph"/>
              <w:spacing w:before="55"/>
              <w:ind w:right="910"/>
              <w:rPr>
                <w:b/>
                <w:sz w:val="24"/>
              </w:rPr>
            </w:pPr>
            <w:r>
              <w:rPr>
                <w:b/>
                <w:color w:val="0D0D0D"/>
                <w:sz w:val="24"/>
              </w:rPr>
              <w:t>Evidence that supports this approach</w:t>
            </w:r>
          </w:p>
        </w:tc>
      </w:tr>
      <w:tr w:rsidR="00FE551B" w:rsidTr="00FE551B">
        <w:trPr>
          <w:trHeight w:val="856"/>
        </w:trPr>
        <w:tc>
          <w:tcPr>
            <w:tcW w:w="2688" w:type="dxa"/>
          </w:tcPr>
          <w:p w:rsidR="00FE551B" w:rsidRDefault="00FE551B">
            <w:pPr>
              <w:pStyle w:val="TableParagraph"/>
              <w:ind w:left="110" w:right="191"/>
              <w:rPr>
                <w:i/>
                <w:sz w:val="16"/>
              </w:rPr>
            </w:pPr>
            <w:r>
              <w:rPr>
                <w:i/>
                <w:color w:val="0D0D0D"/>
                <w:sz w:val="16"/>
              </w:rPr>
              <w:t>Teaching assistants in EYFS and KS1  to support the teaching of language, phonics, guided reading and maths</w:t>
            </w:r>
          </w:p>
        </w:tc>
        <w:tc>
          <w:tcPr>
            <w:tcW w:w="4256" w:type="dxa"/>
          </w:tcPr>
          <w:p w:rsidR="00FE551B" w:rsidRDefault="00FE551B">
            <w:pPr>
              <w:pStyle w:val="TableParagraph"/>
              <w:rPr>
                <w:sz w:val="16"/>
              </w:rPr>
            </w:pPr>
            <w:r>
              <w:rPr>
                <w:color w:val="0D0D0D"/>
                <w:sz w:val="16"/>
              </w:rPr>
              <w:t>Impact of this approach in the past</w:t>
            </w:r>
          </w:p>
          <w:p w:rsidR="00FE551B" w:rsidRDefault="00FE551B">
            <w:pPr>
              <w:pStyle w:val="TableParagraph"/>
              <w:spacing w:before="61"/>
              <w:ind w:right="296"/>
              <w:rPr>
                <w:color w:val="0D0D0D"/>
                <w:sz w:val="16"/>
              </w:rPr>
            </w:pPr>
            <w:r>
              <w:rPr>
                <w:color w:val="0D0D0D"/>
                <w:sz w:val="16"/>
              </w:rPr>
              <w:t>Read Write Inc</w:t>
            </w:r>
          </w:p>
          <w:p w:rsidR="00FE551B" w:rsidRDefault="00227052">
            <w:pPr>
              <w:pStyle w:val="TableParagraph"/>
              <w:spacing w:before="61"/>
              <w:ind w:right="296"/>
              <w:rPr>
                <w:sz w:val="16"/>
              </w:rPr>
            </w:pPr>
            <w:r w:rsidRPr="00227052">
              <w:rPr>
                <w:color w:val="FF0000"/>
                <w:sz w:val="16"/>
              </w:rPr>
              <w:t>77.8% passed the phonics</w:t>
            </w:r>
            <w:r>
              <w:rPr>
                <w:color w:val="FF0000"/>
                <w:sz w:val="16"/>
              </w:rPr>
              <w:t xml:space="preserve"> 2021-2022</w:t>
            </w:r>
          </w:p>
        </w:tc>
      </w:tr>
      <w:tr w:rsidR="00FE551B" w:rsidTr="00FE551B">
        <w:trPr>
          <w:trHeight w:val="1466"/>
        </w:trPr>
        <w:tc>
          <w:tcPr>
            <w:tcW w:w="2688" w:type="dxa"/>
          </w:tcPr>
          <w:p w:rsidR="00FE551B" w:rsidRDefault="00FE551B">
            <w:pPr>
              <w:pStyle w:val="TableParagraph"/>
              <w:ind w:left="110" w:right="183"/>
              <w:rPr>
                <w:i/>
                <w:sz w:val="16"/>
              </w:rPr>
            </w:pPr>
            <w:r>
              <w:rPr>
                <w:i/>
                <w:color w:val="0D0D0D"/>
                <w:sz w:val="16"/>
              </w:rPr>
              <w:t>Teaching assistant in  key stage 2 to support english and maths learning so that the teacher focuses upon guided/focused writing</w:t>
            </w:r>
            <w:r w:rsidR="00227052">
              <w:rPr>
                <w:i/>
                <w:color w:val="0D0D0D"/>
                <w:sz w:val="16"/>
              </w:rPr>
              <w:t>,readin</w:t>
            </w:r>
            <w:r w:rsidR="00FB41BF">
              <w:rPr>
                <w:i/>
                <w:color w:val="0D0D0D"/>
                <w:sz w:val="16"/>
              </w:rPr>
              <w:t>g</w:t>
            </w:r>
            <w:r>
              <w:rPr>
                <w:i/>
                <w:color w:val="0D0D0D"/>
                <w:sz w:val="16"/>
              </w:rPr>
              <w:t xml:space="preserve"> and</w:t>
            </w:r>
            <w:r>
              <w:rPr>
                <w:i/>
                <w:color w:val="0D0D0D"/>
                <w:spacing w:val="-13"/>
                <w:sz w:val="16"/>
              </w:rPr>
              <w:t xml:space="preserve"> </w:t>
            </w:r>
            <w:r>
              <w:rPr>
                <w:i/>
                <w:color w:val="0D0D0D"/>
                <w:sz w:val="16"/>
              </w:rPr>
              <w:t>maths</w:t>
            </w:r>
          </w:p>
          <w:p w:rsidR="00FE551B" w:rsidRDefault="00FE551B">
            <w:pPr>
              <w:pStyle w:val="TableParagraph"/>
              <w:spacing w:before="59"/>
              <w:ind w:left="110" w:right="555"/>
              <w:rPr>
                <w:i/>
                <w:sz w:val="16"/>
              </w:rPr>
            </w:pPr>
          </w:p>
        </w:tc>
        <w:tc>
          <w:tcPr>
            <w:tcW w:w="4256" w:type="dxa"/>
          </w:tcPr>
          <w:p w:rsidR="00FE551B" w:rsidRDefault="00FE551B" w:rsidP="00FE551B">
            <w:pPr>
              <w:pStyle w:val="TableParagraph"/>
              <w:spacing w:line="316" w:lineRule="auto"/>
              <w:ind w:right="1523"/>
              <w:rPr>
                <w:color w:val="0D0D0D"/>
                <w:sz w:val="16"/>
              </w:rPr>
            </w:pPr>
            <w:r>
              <w:rPr>
                <w:color w:val="0D0D0D"/>
                <w:sz w:val="16"/>
              </w:rPr>
              <w:t xml:space="preserve">Impact of teacher guided instruction </w:t>
            </w:r>
          </w:p>
          <w:p w:rsidR="00FE551B" w:rsidRDefault="00FE551B" w:rsidP="00FE551B">
            <w:pPr>
              <w:pStyle w:val="TableParagraph"/>
              <w:spacing w:line="316" w:lineRule="auto"/>
              <w:ind w:right="1523"/>
              <w:rPr>
                <w:color w:val="0D0D0D"/>
                <w:sz w:val="16"/>
              </w:rPr>
            </w:pPr>
            <w:r>
              <w:rPr>
                <w:color w:val="0D0D0D"/>
                <w:sz w:val="16"/>
              </w:rPr>
              <w:t>In every class a fluid style teaching approach</w:t>
            </w:r>
          </w:p>
          <w:p w:rsidR="00227052" w:rsidRDefault="00227052" w:rsidP="00FE551B">
            <w:pPr>
              <w:pStyle w:val="TableParagraph"/>
              <w:spacing w:line="316" w:lineRule="auto"/>
              <w:ind w:right="1523"/>
              <w:rPr>
                <w:color w:val="FF0000"/>
                <w:sz w:val="16"/>
              </w:rPr>
            </w:pPr>
            <w:r>
              <w:rPr>
                <w:color w:val="FF0000"/>
                <w:sz w:val="16"/>
              </w:rPr>
              <w:t>Reading 71%  Sats 2021-2022</w:t>
            </w:r>
          </w:p>
          <w:p w:rsidR="00227052" w:rsidRDefault="00227052" w:rsidP="00FE551B">
            <w:pPr>
              <w:pStyle w:val="TableParagraph"/>
              <w:spacing w:line="316" w:lineRule="auto"/>
              <w:ind w:right="1523"/>
              <w:rPr>
                <w:color w:val="FF0000"/>
                <w:sz w:val="16"/>
              </w:rPr>
            </w:pPr>
            <w:r>
              <w:rPr>
                <w:color w:val="FF0000"/>
                <w:sz w:val="16"/>
              </w:rPr>
              <w:t>Writing 64%</w:t>
            </w:r>
          </w:p>
          <w:p w:rsidR="00227052" w:rsidRPr="00227052" w:rsidRDefault="00227052" w:rsidP="00FE551B">
            <w:pPr>
              <w:pStyle w:val="TableParagraph"/>
              <w:spacing w:line="316" w:lineRule="auto"/>
              <w:ind w:right="1523"/>
              <w:rPr>
                <w:color w:val="FF0000"/>
                <w:sz w:val="16"/>
              </w:rPr>
            </w:pPr>
            <w:r>
              <w:rPr>
                <w:color w:val="FF0000"/>
                <w:sz w:val="16"/>
              </w:rPr>
              <w:t>Maths 75%</w:t>
            </w:r>
          </w:p>
        </w:tc>
      </w:tr>
      <w:tr w:rsidR="00FE551B" w:rsidTr="00FE551B">
        <w:trPr>
          <w:trHeight w:val="1226"/>
        </w:trPr>
        <w:tc>
          <w:tcPr>
            <w:tcW w:w="2688" w:type="dxa"/>
          </w:tcPr>
          <w:p w:rsidR="00FE551B" w:rsidRDefault="00227052">
            <w:pPr>
              <w:pStyle w:val="TableParagraph"/>
              <w:spacing w:before="58"/>
              <w:ind w:left="110" w:right="262"/>
              <w:rPr>
                <w:i/>
                <w:sz w:val="16"/>
              </w:rPr>
            </w:pPr>
            <w:r>
              <w:rPr>
                <w:i/>
                <w:color w:val="0D0D0D"/>
                <w:sz w:val="16"/>
              </w:rPr>
              <w:t>Assistant headteachers run</w:t>
            </w:r>
            <w:r w:rsidR="00FE551B">
              <w:rPr>
                <w:i/>
                <w:color w:val="0D0D0D"/>
                <w:sz w:val="16"/>
              </w:rPr>
              <w:t xml:space="preserve"> he nurture provision </w:t>
            </w:r>
          </w:p>
        </w:tc>
        <w:tc>
          <w:tcPr>
            <w:tcW w:w="4256" w:type="dxa"/>
          </w:tcPr>
          <w:p w:rsidR="00FE551B" w:rsidRDefault="00FE551B">
            <w:pPr>
              <w:pStyle w:val="TableParagraph"/>
              <w:spacing w:before="59"/>
              <w:ind w:right="296"/>
              <w:rPr>
                <w:color w:val="0D0D0D"/>
                <w:sz w:val="16"/>
              </w:rPr>
            </w:pPr>
            <w:r>
              <w:rPr>
                <w:color w:val="0D0D0D"/>
                <w:sz w:val="16"/>
              </w:rPr>
              <w:t xml:space="preserve"> A tailored bespoke curriculum for the most vulnerable pupils </w:t>
            </w:r>
          </w:p>
          <w:p w:rsidR="00227052" w:rsidRDefault="00227052">
            <w:pPr>
              <w:pStyle w:val="TableParagraph"/>
              <w:spacing w:before="59"/>
              <w:ind w:right="296"/>
              <w:rPr>
                <w:color w:val="0D0D0D"/>
                <w:sz w:val="16"/>
              </w:rPr>
            </w:pPr>
          </w:p>
          <w:p w:rsidR="00227052" w:rsidRPr="00227052" w:rsidRDefault="006B66B4">
            <w:pPr>
              <w:pStyle w:val="TableParagraph"/>
              <w:spacing w:before="59"/>
              <w:ind w:right="296"/>
              <w:rPr>
                <w:color w:val="FF0000"/>
                <w:sz w:val="16"/>
              </w:rPr>
            </w:pPr>
            <w:r>
              <w:rPr>
                <w:color w:val="FF0000"/>
                <w:sz w:val="16"/>
              </w:rPr>
              <w:t xml:space="preserve">2021- 2022 </w:t>
            </w:r>
            <w:r w:rsidR="00227052">
              <w:rPr>
                <w:color w:val="FF0000"/>
                <w:sz w:val="16"/>
              </w:rPr>
              <w:t>All children in the nurture provision made expected progress.</w:t>
            </w:r>
          </w:p>
        </w:tc>
      </w:tr>
      <w:tr w:rsidR="00FE551B" w:rsidTr="00FE551B">
        <w:trPr>
          <w:trHeight w:val="1219"/>
        </w:trPr>
        <w:tc>
          <w:tcPr>
            <w:tcW w:w="2688" w:type="dxa"/>
          </w:tcPr>
          <w:p w:rsidR="00FE551B" w:rsidRDefault="00FE551B">
            <w:pPr>
              <w:pStyle w:val="TableParagraph"/>
              <w:ind w:left="110" w:right="448"/>
              <w:rPr>
                <w:i/>
                <w:sz w:val="16"/>
              </w:rPr>
            </w:pPr>
            <w:r>
              <w:rPr>
                <w:i/>
                <w:color w:val="0D0D0D"/>
                <w:sz w:val="16"/>
              </w:rPr>
              <w:t>TA trained to deliver N</w:t>
            </w:r>
            <w:r w:rsidR="000343F7">
              <w:rPr>
                <w:i/>
                <w:color w:val="0D0D0D"/>
                <w:sz w:val="16"/>
              </w:rPr>
              <w:t>essy intervention which is</w:t>
            </w:r>
            <w:r>
              <w:rPr>
                <w:i/>
                <w:color w:val="0D0D0D"/>
                <w:sz w:val="16"/>
              </w:rPr>
              <w:t xml:space="preserve"> an alternative phoni</w:t>
            </w:r>
            <w:r w:rsidR="000343F7">
              <w:rPr>
                <w:i/>
                <w:color w:val="0D0D0D"/>
                <w:sz w:val="16"/>
              </w:rPr>
              <w:t>c</w:t>
            </w:r>
            <w:r>
              <w:rPr>
                <w:i/>
                <w:color w:val="0D0D0D"/>
                <w:sz w:val="16"/>
              </w:rPr>
              <w:t>s support</w:t>
            </w:r>
          </w:p>
        </w:tc>
        <w:tc>
          <w:tcPr>
            <w:tcW w:w="4256" w:type="dxa"/>
          </w:tcPr>
          <w:p w:rsidR="00FE551B" w:rsidRDefault="00FE551B">
            <w:pPr>
              <w:pStyle w:val="TableParagraph"/>
              <w:spacing w:before="59"/>
              <w:rPr>
                <w:color w:val="0D0D0D"/>
                <w:sz w:val="16"/>
              </w:rPr>
            </w:pPr>
            <w:r>
              <w:rPr>
                <w:color w:val="0D0D0D"/>
                <w:sz w:val="16"/>
              </w:rPr>
              <w:t>EEF – Oral language interventions</w:t>
            </w:r>
          </w:p>
          <w:p w:rsidR="007338A0" w:rsidRDefault="007338A0">
            <w:pPr>
              <w:pStyle w:val="TableParagraph"/>
              <w:spacing w:before="59"/>
              <w:rPr>
                <w:color w:val="0D0D0D"/>
                <w:sz w:val="16"/>
              </w:rPr>
            </w:pPr>
          </w:p>
          <w:p w:rsidR="007338A0" w:rsidRPr="007338A0" w:rsidRDefault="006B66B4">
            <w:pPr>
              <w:pStyle w:val="TableParagraph"/>
              <w:spacing w:before="59"/>
              <w:rPr>
                <w:color w:val="FF0000"/>
                <w:sz w:val="16"/>
              </w:rPr>
            </w:pPr>
            <w:r>
              <w:rPr>
                <w:color w:val="FF0000"/>
                <w:sz w:val="16"/>
              </w:rPr>
              <w:t xml:space="preserve">2021-2022 </w:t>
            </w:r>
            <w:r w:rsidR="007338A0">
              <w:rPr>
                <w:color w:val="FF0000"/>
                <w:sz w:val="16"/>
              </w:rPr>
              <w:t>Children made expected in year 2.</w:t>
            </w:r>
          </w:p>
        </w:tc>
      </w:tr>
      <w:tr w:rsidR="00FE551B" w:rsidTr="00FE551B">
        <w:trPr>
          <w:trHeight w:val="1835"/>
        </w:trPr>
        <w:tc>
          <w:tcPr>
            <w:tcW w:w="2688" w:type="dxa"/>
          </w:tcPr>
          <w:p w:rsidR="00FE551B" w:rsidRDefault="00FE551B">
            <w:pPr>
              <w:pStyle w:val="TableParagraph"/>
              <w:ind w:left="110" w:right="164"/>
              <w:rPr>
                <w:i/>
                <w:sz w:val="16"/>
              </w:rPr>
            </w:pPr>
            <w:r>
              <w:rPr>
                <w:i/>
                <w:color w:val="0D0D0D"/>
                <w:sz w:val="16"/>
              </w:rPr>
              <w:t>Allocation of funding to support a programme of CPD to develop high quality teaching and learning in English and Maths</w:t>
            </w:r>
          </w:p>
          <w:p w:rsidR="00FE551B" w:rsidRDefault="00FE551B">
            <w:pPr>
              <w:pStyle w:val="TableParagraph"/>
              <w:spacing w:before="61"/>
              <w:ind w:left="110" w:right="253"/>
              <w:rPr>
                <w:sz w:val="16"/>
              </w:rPr>
            </w:pPr>
            <w:r>
              <w:rPr>
                <w:color w:val="0D0D0D"/>
                <w:sz w:val="16"/>
              </w:rPr>
              <w:t>Allocation of funding for reading, writing and maths resourcing including website subscriptions and high quality texts for EYFS, KS1 and KS2.</w:t>
            </w:r>
          </w:p>
        </w:tc>
        <w:tc>
          <w:tcPr>
            <w:tcW w:w="4256" w:type="dxa"/>
          </w:tcPr>
          <w:p w:rsidR="00FE551B" w:rsidRDefault="00FE551B">
            <w:pPr>
              <w:pStyle w:val="TableParagraph"/>
              <w:spacing w:before="0"/>
              <w:ind w:right="363"/>
              <w:rPr>
                <w:color w:val="0D0D0D"/>
                <w:sz w:val="16"/>
              </w:rPr>
            </w:pPr>
            <w:r>
              <w:rPr>
                <w:color w:val="0D0D0D"/>
                <w:sz w:val="16"/>
              </w:rPr>
              <w:t>Read Write inc refresher training</w:t>
            </w:r>
            <w:r w:rsidR="007338A0">
              <w:rPr>
                <w:color w:val="0D0D0D"/>
                <w:sz w:val="16"/>
              </w:rPr>
              <w:t>/subscription/resources</w:t>
            </w:r>
          </w:p>
          <w:p w:rsidR="00FE551B" w:rsidRDefault="00FE551B">
            <w:pPr>
              <w:pStyle w:val="TableParagraph"/>
              <w:spacing w:before="0"/>
              <w:ind w:right="363"/>
              <w:rPr>
                <w:color w:val="0D0D0D"/>
                <w:sz w:val="16"/>
              </w:rPr>
            </w:pPr>
            <w:r>
              <w:rPr>
                <w:color w:val="0D0D0D"/>
                <w:sz w:val="16"/>
              </w:rPr>
              <w:t>White Rose Maths</w:t>
            </w:r>
          </w:p>
          <w:p w:rsidR="00FE551B" w:rsidRDefault="00FE551B">
            <w:pPr>
              <w:pStyle w:val="TableParagraph"/>
              <w:spacing w:before="0"/>
              <w:ind w:right="363"/>
              <w:rPr>
                <w:color w:val="0D0D0D"/>
                <w:sz w:val="16"/>
              </w:rPr>
            </w:pPr>
            <w:r>
              <w:rPr>
                <w:color w:val="0D0D0D"/>
                <w:sz w:val="16"/>
              </w:rPr>
              <w:t>Complete comprehension</w:t>
            </w:r>
          </w:p>
          <w:p w:rsidR="007338A0" w:rsidRDefault="007338A0">
            <w:pPr>
              <w:pStyle w:val="TableParagraph"/>
              <w:spacing w:before="0"/>
              <w:ind w:right="363"/>
              <w:rPr>
                <w:color w:val="0D0D0D"/>
                <w:sz w:val="16"/>
              </w:rPr>
            </w:pPr>
          </w:p>
          <w:p w:rsidR="007338A0" w:rsidRDefault="006B66B4">
            <w:pPr>
              <w:pStyle w:val="TableParagraph"/>
              <w:spacing w:before="0"/>
              <w:ind w:right="363"/>
              <w:rPr>
                <w:color w:val="FF0000"/>
                <w:sz w:val="16"/>
              </w:rPr>
            </w:pPr>
            <w:r>
              <w:rPr>
                <w:color w:val="FF0000"/>
                <w:sz w:val="16"/>
              </w:rPr>
              <w:t xml:space="preserve">2021-2022 </w:t>
            </w:r>
            <w:r w:rsidR="007338A0">
              <w:rPr>
                <w:color w:val="FF0000"/>
                <w:sz w:val="16"/>
              </w:rPr>
              <w:t>Well trained staff supported by an expert teacher.</w:t>
            </w:r>
          </w:p>
          <w:p w:rsidR="007338A0" w:rsidRDefault="007338A0">
            <w:pPr>
              <w:pStyle w:val="TableParagraph"/>
              <w:spacing w:before="0"/>
              <w:ind w:right="363"/>
              <w:rPr>
                <w:color w:val="FF0000"/>
                <w:sz w:val="16"/>
              </w:rPr>
            </w:pPr>
            <w:r>
              <w:rPr>
                <w:color w:val="FF0000"/>
                <w:sz w:val="16"/>
              </w:rPr>
              <w:t>Impact by Autumn 2 2022 more than the majority of children are expected level in phonics</w:t>
            </w:r>
          </w:p>
          <w:p w:rsidR="007338A0" w:rsidRDefault="007338A0">
            <w:pPr>
              <w:pStyle w:val="TableParagraph"/>
              <w:spacing w:before="0"/>
              <w:ind w:right="363"/>
              <w:rPr>
                <w:color w:val="FF0000"/>
                <w:sz w:val="16"/>
              </w:rPr>
            </w:pPr>
            <w:r>
              <w:rPr>
                <w:color w:val="FF0000"/>
                <w:sz w:val="16"/>
              </w:rPr>
              <w:t>Introduction of white is closing the gap post covid</w:t>
            </w:r>
          </w:p>
          <w:p w:rsidR="007338A0" w:rsidRPr="007338A0" w:rsidRDefault="007338A0">
            <w:pPr>
              <w:pStyle w:val="TableParagraph"/>
              <w:spacing w:before="0"/>
              <w:ind w:right="363"/>
              <w:rPr>
                <w:color w:val="FF0000"/>
                <w:sz w:val="16"/>
              </w:rPr>
            </w:pPr>
            <w:r>
              <w:rPr>
                <w:color w:val="FF0000"/>
                <w:sz w:val="16"/>
              </w:rPr>
              <w:t>Introduction of complete comprehension closing the gap post covid</w:t>
            </w:r>
          </w:p>
        </w:tc>
      </w:tr>
    </w:tbl>
    <w:p w:rsidR="00413F6D" w:rsidRDefault="00413F6D">
      <w:pPr>
        <w:spacing w:before="6"/>
        <w:rPr>
          <w:sz w:val="33"/>
        </w:rPr>
      </w:pPr>
    </w:p>
    <w:p w:rsidR="00413F6D" w:rsidRDefault="000343F7">
      <w:pPr>
        <w:ind w:left="112"/>
        <w:rPr>
          <w:b/>
          <w:sz w:val="20"/>
        </w:rPr>
      </w:pPr>
      <w:r>
        <w:rPr>
          <w:b/>
          <w:color w:val="0F4F75"/>
          <w:sz w:val="20"/>
        </w:rPr>
        <w:t>Targeted academic support (for example, tutoring, one-to-one support structured interventions)</w:t>
      </w:r>
    </w:p>
    <w:p w:rsidR="00413F6D" w:rsidRDefault="00413F6D">
      <w:pPr>
        <w:spacing w:before="11"/>
        <w:rPr>
          <w:b/>
          <w:sz w:val="24"/>
        </w:rPr>
      </w:pPr>
    </w:p>
    <w:p w:rsidR="00413F6D" w:rsidRDefault="00FB41BF">
      <w:pPr>
        <w:ind w:left="112"/>
        <w:rPr>
          <w:sz w:val="24"/>
        </w:rPr>
      </w:pPr>
      <w:r>
        <w:rPr>
          <w:color w:val="0D0D0D"/>
          <w:sz w:val="24"/>
        </w:rPr>
        <w:t>Budgeted cost: £6940</w:t>
      </w:r>
    </w:p>
    <w:p w:rsidR="00413F6D" w:rsidRDefault="00413F6D">
      <w:pPr>
        <w:spacing w:before="1"/>
        <w:rPr>
          <w:sz w:val="2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8"/>
        </w:trPr>
        <w:tc>
          <w:tcPr>
            <w:tcW w:w="2688" w:type="dxa"/>
            <w:shd w:val="clear" w:color="auto" w:fill="D7E1E9"/>
          </w:tcPr>
          <w:p w:rsidR="00FE551B" w:rsidRDefault="00FE551B">
            <w:pPr>
              <w:pStyle w:val="TableParagraph"/>
              <w:rPr>
                <w:b/>
                <w:sz w:val="24"/>
              </w:rPr>
            </w:pPr>
            <w:r>
              <w:rPr>
                <w:b/>
                <w:color w:val="0D0D0D"/>
                <w:sz w:val="24"/>
              </w:rPr>
              <w:t>Activity</w:t>
            </w:r>
          </w:p>
        </w:tc>
        <w:tc>
          <w:tcPr>
            <w:tcW w:w="4256" w:type="dxa"/>
            <w:shd w:val="clear" w:color="auto" w:fill="D7E1E9"/>
          </w:tcPr>
          <w:p w:rsidR="00FE551B" w:rsidRDefault="00FE551B">
            <w:pPr>
              <w:pStyle w:val="TableParagraph"/>
              <w:ind w:right="910"/>
              <w:rPr>
                <w:b/>
                <w:sz w:val="24"/>
              </w:rPr>
            </w:pPr>
            <w:r>
              <w:rPr>
                <w:b/>
                <w:color w:val="0D0D0D"/>
                <w:sz w:val="24"/>
              </w:rPr>
              <w:t>Evidence that supports this approach</w:t>
            </w:r>
          </w:p>
        </w:tc>
      </w:tr>
      <w:tr w:rsidR="00FE551B" w:rsidTr="00FE551B">
        <w:trPr>
          <w:trHeight w:val="916"/>
        </w:trPr>
        <w:tc>
          <w:tcPr>
            <w:tcW w:w="2688" w:type="dxa"/>
          </w:tcPr>
          <w:p w:rsidR="00FE551B" w:rsidRDefault="00FE551B">
            <w:pPr>
              <w:pStyle w:val="TableParagraph"/>
              <w:spacing w:before="58"/>
              <w:ind w:right="417"/>
              <w:rPr>
                <w:i/>
                <w:sz w:val="16"/>
              </w:rPr>
            </w:pPr>
            <w:r>
              <w:rPr>
                <w:i/>
                <w:color w:val="0D0D0D"/>
                <w:sz w:val="16"/>
              </w:rPr>
              <w:t>Deployment of staff to deliver speech and language programme (Welcomm)</w:t>
            </w:r>
          </w:p>
        </w:tc>
        <w:tc>
          <w:tcPr>
            <w:tcW w:w="4256" w:type="dxa"/>
          </w:tcPr>
          <w:p w:rsidR="00FE551B" w:rsidRDefault="00FE551B">
            <w:pPr>
              <w:pStyle w:val="TableParagraph"/>
              <w:spacing w:before="58"/>
              <w:rPr>
                <w:sz w:val="16"/>
              </w:rPr>
            </w:pPr>
            <w:r>
              <w:rPr>
                <w:color w:val="0D0D0D"/>
                <w:sz w:val="16"/>
              </w:rPr>
              <w:t>EEF – Oral language Interventions</w:t>
            </w:r>
          </w:p>
          <w:p w:rsidR="00FE551B" w:rsidRDefault="00FE551B">
            <w:pPr>
              <w:pStyle w:val="TableParagraph"/>
              <w:spacing w:before="59"/>
              <w:ind w:right="781"/>
              <w:rPr>
                <w:color w:val="0D0D0D"/>
                <w:sz w:val="16"/>
              </w:rPr>
            </w:pPr>
            <w:r>
              <w:rPr>
                <w:color w:val="0D0D0D"/>
                <w:sz w:val="16"/>
              </w:rPr>
              <w:t>https://</w:t>
            </w:r>
            <w:hyperlink r:id="rId7">
              <w:r>
                <w:rPr>
                  <w:color w:val="0D0D0D"/>
                  <w:sz w:val="16"/>
                </w:rPr>
                <w:t>www.gl-assessment.co.uk/case-</w:t>
              </w:r>
            </w:hyperlink>
            <w:r>
              <w:rPr>
                <w:color w:val="0D0D0D"/>
                <w:sz w:val="16"/>
              </w:rPr>
              <w:t xml:space="preserve"> studies/sandwell-keeps-talking-with-help-from- wellcomm-early-years/</w:t>
            </w:r>
          </w:p>
          <w:p w:rsidR="00921C97" w:rsidRDefault="00921C97">
            <w:pPr>
              <w:pStyle w:val="TableParagraph"/>
              <w:spacing w:before="59"/>
              <w:ind w:right="781"/>
              <w:rPr>
                <w:color w:val="0D0D0D"/>
                <w:sz w:val="16"/>
              </w:rPr>
            </w:pPr>
          </w:p>
          <w:p w:rsidR="00921C97" w:rsidRDefault="00921C97">
            <w:pPr>
              <w:pStyle w:val="TableParagraph"/>
              <w:spacing w:before="59"/>
              <w:ind w:right="781"/>
              <w:rPr>
                <w:sz w:val="16"/>
              </w:rPr>
            </w:pPr>
            <w:r w:rsidRPr="00921C97">
              <w:rPr>
                <w:color w:val="FF0000"/>
                <w:sz w:val="16"/>
              </w:rPr>
              <w:t>2021-2022 early identification to close the gap</w:t>
            </w:r>
          </w:p>
        </w:tc>
      </w:tr>
      <w:tr w:rsidR="00FE551B" w:rsidTr="00FE551B">
        <w:trPr>
          <w:trHeight w:val="673"/>
        </w:trPr>
        <w:tc>
          <w:tcPr>
            <w:tcW w:w="2688" w:type="dxa"/>
          </w:tcPr>
          <w:p w:rsidR="00FE551B" w:rsidRDefault="00FE551B">
            <w:pPr>
              <w:pStyle w:val="TableParagraph"/>
              <w:ind w:right="257"/>
              <w:jc w:val="both"/>
              <w:rPr>
                <w:i/>
                <w:sz w:val="16"/>
              </w:rPr>
            </w:pPr>
            <w:r>
              <w:rPr>
                <w:i/>
                <w:color w:val="0D0D0D"/>
                <w:sz w:val="16"/>
              </w:rPr>
              <w:t>Speech and language therapist service level agreement 0.5 days a week</w:t>
            </w:r>
          </w:p>
        </w:tc>
        <w:tc>
          <w:tcPr>
            <w:tcW w:w="4256" w:type="dxa"/>
          </w:tcPr>
          <w:p w:rsidR="00FE551B" w:rsidRDefault="00FE551B">
            <w:pPr>
              <w:pStyle w:val="TableParagraph"/>
              <w:ind w:left="111" w:right="246"/>
              <w:rPr>
                <w:color w:val="0D0D0D"/>
                <w:sz w:val="16"/>
              </w:rPr>
            </w:pPr>
            <w:r>
              <w:rPr>
                <w:color w:val="0D0D0D"/>
                <w:sz w:val="16"/>
              </w:rPr>
              <w:t>Difficulty in referrals to the NHS – early identification of issues and support required.</w:t>
            </w:r>
          </w:p>
          <w:p w:rsidR="00921C97" w:rsidRDefault="00921C97">
            <w:pPr>
              <w:pStyle w:val="TableParagraph"/>
              <w:ind w:left="111" w:right="246"/>
              <w:rPr>
                <w:color w:val="0D0D0D"/>
                <w:sz w:val="16"/>
              </w:rPr>
            </w:pPr>
          </w:p>
          <w:p w:rsidR="00921C97" w:rsidRDefault="00921C97">
            <w:pPr>
              <w:pStyle w:val="TableParagraph"/>
              <w:ind w:left="111" w:right="246"/>
              <w:rPr>
                <w:color w:val="0D0D0D"/>
                <w:sz w:val="16"/>
              </w:rPr>
            </w:pPr>
          </w:p>
          <w:p w:rsidR="00921C97" w:rsidRDefault="00921C97">
            <w:pPr>
              <w:pStyle w:val="TableParagraph"/>
              <w:ind w:left="111" w:right="246"/>
              <w:rPr>
                <w:sz w:val="16"/>
              </w:rPr>
            </w:pPr>
            <w:r w:rsidRPr="00921C97">
              <w:rPr>
                <w:color w:val="FF0000"/>
                <w:sz w:val="16"/>
              </w:rPr>
              <w:t>2021-2022 early identification to close the gap</w:t>
            </w:r>
          </w:p>
        </w:tc>
      </w:tr>
    </w:tbl>
    <w:p w:rsidR="00413F6D" w:rsidRDefault="00413F6D">
      <w:pPr>
        <w:rPr>
          <w:sz w:val="16"/>
        </w:rPr>
        <w:sectPr w:rsidR="00413F6D">
          <w:pgSz w:w="11910" w:h="16840"/>
          <w:pgMar w:top="900" w:right="1160" w:bottom="980" w:left="1020" w:header="0" w:footer="781" w:gutter="0"/>
          <w:cols w:space="720"/>
        </w:sect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1041"/>
        </w:trPr>
        <w:tc>
          <w:tcPr>
            <w:tcW w:w="2688" w:type="dxa"/>
          </w:tcPr>
          <w:p w:rsidR="00FE551B" w:rsidRDefault="00FE551B">
            <w:pPr>
              <w:pStyle w:val="TableParagraph"/>
              <w:spacing w:before="58"/>
              <w:ind w:right="212"/>
              <w:rPr>
                <w:i/>
                <w:sz w:val="16"/>
              </w:rPr>
            </w:pPr>
            <w:r>
              <w:rPr>
                <w:i/>
                <w:color w:val="0D0D0D"/>
                <w:sz w:val="16"/>
              </w:rPr>
              <w:t>Service level agreement with Brain training, CBT and  to support the emotional well-being and mental health of identified children</w:t>
            </w:r>
          </w:p>
        </w:tc>
        <w:tc>
          <w:tcPr>
            <w:tcW w:w="4256" w:type="dxa"/>
          </w:tcPr>
          <w:p w:rsidR="00FE551B" w:rsidRDefault="000343F7">
            <w:pPr>
              <w:pStyle w:val="TableParagraph"/>
              <w:spacing w:before="1"/>
              <w:ind w:left="111"/>
              <w:rPr>
                <w:sz w:val="18"/>
                <w:szCs w:val="18"/>
              </w:rPr>
            </w:pPr>
            <w:r w:rsidRPr="000343F7">
              <w:rPr>
                <w:sz w:val="18"/>
                <w:szCs w:val="18"/>
              </w:rPr>
              <w:t>Anecdotal evidence – behaviour, engagement and pupil voice</w:t>
            </w:r>
          </w:p>
          <w:p w:rsidR="00A358FF" w:rsidRDefault="00A358FF">
            <w:pPr>
              <w:pStyle w:val="TableParagraph"/>
              <w:spacing w:before="1"/>
              <w:ind w:left="111"/>
              <w:rPr>
                <w:sz w:val="18"/>
                <w:szCs w:val="18"/>
              </w:rPr>
            </w:pPr>
          </w:p>
          <w:p w:rsidR="00A358FF" w:rsidRPr="000343F7" w:rsidRDefault="00A358FF">
            <w:pPr>
              <w:pStyle w:val="TableParagraph"/>
              <w:spacing w:before="1"/>
              <w:ind w:left="111"/>
              <w:rPr>
                <w:sz w:val="18"/>
                <w:szCs w:val="18"/>
              </w:rPr>
            </w:pPr>
            <w:r w:rsidRPr="00A358FF">
              <w:rPr>
                <w:color w:val="FF0000"/>
                <w:sz w:val="18"/>
                <w:szCs w:val="18"/>
              </w:rPr>
              <w:t>We no longer have the money to support brain training</w:t>
            </w:r>
            <w:r>
              <w:rPr>
                <w:color w:val="FF0000"/>
                <w:sz w:val="18"/>
                <w:szCs w:val="18"/>
              </w:rPr>
              <w:t xml:space="preserve"> for 2022-2023</w:t>
            </w:r>
          </w:p>
        </w:tc>
      </w:tr>
    </w:tbl>
    <w:p w:rsidR="00413F6D" w:rsidRDefault="00413F6D">
      <w:pPr>
        <w:spacing w:before="6"/>
        <w:rPr>
          <w:sz w:val="25"/>
        </w:rPr>
      </w:pPr>
    </w:p>
    <w:p w:rsidR="00413F6D" w:rsidRDefault="000343F7">
      <w:pPr>
        <w:spacing w:before="93"/>
        <w:ind w:left="112"/>
        <w:rPr>
          <w:b/>
          <w:sz w:val="20"/>
        </w:rPr>
      </w:pPr>
      <w:r>
        <w:rPr>
          <w:b/>
          <w:color w:val="0F4F75"/>
          <w:sz w:val="20"/>
        </w:rPr>
        <w:t>Wider strategies (for example, related to attendance, behaviour, wellbeing)</w:t>
      </w:r>
    </w:p>
    <w:p w:rsidR="00413F6D" w:rsidRDefault="00413F6D">
      <w:pPr>
        <w:spacing w:before="11"/>
        <w:rPr>
          <w:b/>
          <w:sz w:val="24"/>
        </w:rPr>
      </w:pPr>
    </w:p>
    <w:p w:rsidR="00413F6D" w:rsidRDefault="00FB41BF">
      <w:pPr>
        <w:ind w:left="112"/>
        <w:rPr>
          <w:sz w:val="24"/>
        </w:rPr>
      </w:pPr>
      <w:r>
        <w:rPr>
          <w:color w:val="0D0D0D"/>
          <w:sz w:val="24"/>
        </w:rPr>
        <w:t>Budgeted cost: £3468</w:t>
      </w:r>
    </w:p>
    <w:p w:rsidR="00413F6D" w:rsidRDefault="00413F6D">
      <w:pPr>
        <w:spacing w:before="7"/>
        <w:rPr>
          <w:sz w:val="15"/>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7"/>
        </w:trPr>
        <w:tc>
          <w:tcPr>
            <w:tcW w:w="2688" w:type="dxa"/>
            <w:shd w:val="clear" w:color="auto" w:fill="D7E1E9"/>
          </w:tcPr>
          <w:p w:rsidR="00FE551B" w:rsidRDefault="00FE551B">
            <w:pPr>
              <w:pStyle w:val="TableParagraph"/>
              <w:spacing w:before="55"/>
              <w:rPr>
                <w:b/>
                <w:sz w:val="24"/>
              </w:rPr>
            </w:pPr>
            <w:r>
              <w:rPr>
                <w:b/>
                <w:color w:val="0D0D0D"/>
                <w:sz w:val="24"/>
              </w:rPr>
              <w:t>Activity</w:t>
            </w:r>
          </w:p>
        </w:tc>
        <w:tc>
          <w:tcPr>
            <w:tcW w:w="4256" w:type="dxa"/>
            <w:shd w:val="clear" w:color="auto" w:fill="D7E1E9"/>
          </w:tcPr>
          <w:p w:rsidR="00FE551B" w:rsidRDefault="00FE551B">
            <w:pPr>
              <w:pStyle w:val="TableParagraph"/>
              <w:spacing w:before="55"/>
              <w:ind w:right="910"/>
              <w:rPr>
                <w:b/>
                <w:sz w:val="24"/>
              </w:rPr>
            </w:pPr>
            <w:r>
              <w:rPr>
                <w:b/>
                <w:color w:val="0D0D0D"/>
                <w:sz w:val="24"/>
              </w:rPr>
              <w:t>Evidence that supports this approach</w:t>
            </w:r>
          </w:p>
        </w:tc>
      </w:tr>
      <w:tr w:rsidR="00FE551B" w:rsidTr="00FE551B">
        <w:trPr>
          <w:trHeight w:val="1277"/>
        </w:trPr>
        <w:tc>
          <w:tcPr>
            <w:tcW w:w="2688" w:type="dxa"/>
          </w:tcPr>
          <w:p w:rsidR="00FE551B" w:rsidRDefault="00FE551B" w:rsidP="00FE551B">
            <w:pPr>
              <w:pStyle w:val="TableParagraph"/>
              <w:spacing w:before="59"/>
              <w:ind w:right="268"/>
              <w:rPr>
                <w:sz w:val="18"/>
              </w:rPr>
            </w:pPr>
            <w:r>
              <w:rPr>
                <w:color w:val="0D0D0D"/>
                <w:sz w:val="18"/>
              </w:rPr>
              <w:t>Funding allocation to provide trips to support the delivery of a rich, broad and exciting curriculum</w:t>
            </w:r>
          </w:p>
        </w:tc>
        <w:tc>
          <w:tcPr>
            <w:tcW w:w="4256" w:type="dxa"/>
          </w:tcPr>
          <w:p w:rsidR="00FE551B" w:rsidRDefault="00FE551B">
            <w:pPr>
              <w:pStyle w:val="TableParagraph"/>
              <w:spacing w:before="0"/>
              <w:ind w:right="395"/>
              <w:rPr>
                <w:color w:val="0D0D0D"/>
                <w:sz w:val="18"/>
              </w:rPr>
            </w:pPr>
            <w:r>
              <w:rPr>
                <w:color w:val="0D0D0D"/>
                <w:sz w:val="18"/>
              </w:rPr>
              <w:t>Anecdotal evidence – behaviour, engagement and pupil voice</w:t>
            </w:r>
          </w:p>
          <w:p w:rsidR="00FB41BF" w:rsidRDefault="00FB41BF">
            <w:pPr>
              <w:pStyle w:val="TableParagraph"/>
              <w:spacing w:before="0"/>
              <w:ind w:right="395"/>
              <w:rPr>
                <w:color w:val="0D0D0D"/>
                <w:sz w:val="18"/>
              </w:rPr>
            </w:pPr>
          </w:p>
          <w:p w:rsidR="00FB41BF" w:rsidRDefault="00FB41BF">
            <w:pPr>
              <w:pStyle w:val="TableParagraph"/>
              <w:spacing w:before="0"/>
              <w:ind w:right="395"/>
              <w:rPr>
                <w:sz w:val="18"/>
              </w:rPr>
            </w:pPr>
            <w:r w:rsidRPr="00FB41BF">
              <w:rPr>
                <w:color w:val="FF0000"/>
                <w:sz w:val="18"/>
              </w:rPr>
              <w:t>Children are loving the trip element of our curriculum and voice this regularly</w:t>
            </w:r>
          </w:p>
        </w:tc>
      </w:tr>
      <w:tr w:rsidR="00FE551B" w:rsidTr="00FE551B">
        <w:trPr>
          <w:trHeight w:val="1067"/>
        </w:trPr>
        <w:tc>
          <w:tcPr>
            <w:tcW w:w="2688" w:type="dxa"/>
          </w:tcPr>
          <w:p w:rsidR="00FE551B" w:rsidRDefault="00FE551B">
            <w:pPr>
              <w:pStyle w:val="TableParagraph"/>
              <w:spacing w:before="59"/>
              <w:ind w:right="448"/>
              <w:rPr>
                <w:sz w:val="18"/>
              </w:rPr>
            </w:pPr>
            <w:r>
              <w:rPr>
                <w:color w:val="0D0D0D"/>
                <w:sz w:val="18"/>
              </w:rPr>
              <w:t>Subsidised trips and a Y6 residential trip</w:t>
            </w:r>
          </w:p>
        </w:tc>
        <w:tc>
          <w:tcPr>
            <w:tcW w:w="4256" w:type="dxa"/>
          </w:tcPr>
          <w:p w:rsidR="00FE551B" w:rsidRDefault="00FE551B">
            <w:pPr>
              <w:pStyle w:val="TableParagraph"/>
              <w:spacing w:before="59"/>
              <w:ind w:right="395"/>
              <w:rPr>
                <w:sz w:val="18"/>
              </w:rPr>
            </w:pPr>
            <w:r>
              <w:rPr>
                <w:color w:val="0D0D0D"/>
                <w:sz w:val="18"/>
              </w:rPr>
              <w:t>Anecdotal evidence – behaviour, engagement and pupil voice</w:t>
            </w:r>
          </w:p>
          <w:p w:rsidR="00FE551B" w:rsidRDefault="00FE551B">
            <w:pPr>
              <w:pStyle w:val="TableParagraph"/>
              <w:spacing w:before="5"/>
              <w:ind w:left="0"/>
              <w:rPr>
                <w:sz w:val="28"/>
              </w:rPr>
            </w:pPr>
          </w:p>
          <w:p w:rsidR="00FE551B" w:rsidRDefault="00FB41BF">
            <w:pPr>
              <w:pStyle w:val="TableParagraph"/>
              <w:spacing w:before="0"/>
              <w:rPr>
                <w:sz w:val="18"/>
              </w:rPr>
            </w:pPr>
            <w:r w:rsidRPr="00FB41BF">
              <w:rPr>
                <w:color w:val="FF0000"/>
                <w:sz w:val="18"/>
              </w:rPr>
              <w:t>Children loved the trip</w:t>
            </w:r>
          </w:p>
        </w:tc>
      </w:tr>
      <w:tr w:rsidR="00FE551B" w:rsidTr="00FE551B">
        <w:trPr>
          <w:trHeight w:val="741"/>
        </w:trPr>
        <w:tc>
          <w:tcPr>
            <w:tcW w:w="2688" w:type="dxa"/>
          </w:tcPr>
          <w:p w:rsidR="00FE551B" w:rsidRDefault="00FE551B">
            <w:pPr>
              <w:pStyle w:val="TableParagraph"/>
              <w:spacing w:before="59"/>
              <w:ind w:right="258"/>
              <w:rPr>
                <w:sz w:val="18"/>
              </w:rPr>
            </w:pPr>
            <w:r>
              <w:rPr>
                <w:color w:val="0D0D0D"/>
                <w:sz w:val="18"/>
              </w:rPr>
              <w:t>Funding allocation to attendance – Breakfast club and after school club</w:t>
            </w:r>
          </w:p>
        </w:tc>
        <w:tc>
          <w:tcPr>
            <w:tcW w:w="4256" w:type="dxa"/>
          </w:tcPr>
          <w:p w:rsidR="00FE551B" w:rsidRDefault="00FE551B">
            <w:pPr>
              <w:pStyle w:val="TableParagraph"/>
              <w:spacing w:before="59"/>
              <w:rPr>
                <w:color w:val="0D0D0D"/>
                <w:sz w:val="18"/>
              </w:rPr>
            </w:pPr>
            <w:r>
              <w:rPr>
                <w:color w:val="0D0D0D"/>
                <w:sz w:val="18"/>
              </w:rPr>
              <w:t>Attendance data and engagement</w:t>
            </w:r>
          </w:p>
          <w:p w:rsidR="00FB41BF" w:rsidRDefault="00FB41BF">
            <w:pPr>
              <w:pStyle w:val="TableParagraph"/>
              <w:spacing w:before="59"/>
              <w:rPr>
                <w:color w:val="0D0D0D"/>
                <w:sz w:val="18"/>
              </w:rPr>
            </w:pPr>
          </w:p>
          <w:p w:rsidR="00FB41BF" w:rsidRDefault="00FB41BF">
            <w:pPr>
              <w:pStyle w:val="TableParagraph"/>
              <w:spacing w:before="59"/>
              <w:rPr>
                <w:sz w:val="18"/>
              </w:rPr>
            </w:pPr>
            <w:r w:rsidRPr="00FB41BF">
              <w:rPr>
                <w:color w:val="FF0000"/>
                <w:sz w:val="18"/>
              </w:rPr>
              <w:t>Helps the children who need it to be on time</w:t>
            </w:r>
          </w:p>
        </w:tc>
      </w:tr>
    </w:tbl>
    <w:p w:rsidR="00413F6D" w:rsidRDefault="00413F6D">
      <w:pPr>
        <w:rPr>
          <w:sz w:val="26"/>
        </w:rPr>
      </w:pPr>
    </w:p>
    <w:p w:rsidR="00413F6D" w:rsidRDefault="00413F6D">
      <w:pPr>
        <w:spacing w:before="11"/>
        <w:rPr>
          <w:sz w:val="27"/>
        </w:rPr>
      </w:pPr>
    </w:p>
    <w:p w:rsidR="00413F6D" w:rsidRPr="000343F7" w:rsidRDefault="00FB41BF" w:rsidP="000343F7">
      <w:pPr>
        <w:ind w:left="112"/>
        <w:rPr>
          <w:b/>
          <w:sz w:val="28"/>
        </w:rPr>
        <w:sectPr w:rsidR="00413F6D" w:rsidRPr="000343F7">
          <w:pgSz w:w="11910" w:h="16840"/>
          <w:pgMar w:top="960" w:right="1160" w:bottom="980" w:left="1020" w:header="0" w:footer="781" w:gutter="0"/>
          <w:cols w:space="720"/>
        </w:sectPr>
      </w:pPr>
      <w:r>
        <w:rPr>
          <w:b/>
          <w:color w:val="0F4F75"/>
          <w:sz w:val="28"/>
        </w:rPr>
        <w:t>Total budgeted cost: £106018</w:t>
      </w:r>
    </w:p>
    <w:p w:rsidR="00413F6D" w:rsidRDefault="00413F6D" w:rsidP="000343F7">
      <w:pPr>
        <w:spacing w:before="46"/>
        <w:ind w:right="3416"/>
        <w:rPr>
          <w:i/>
          <w:sz w:val="20"/>
        </w:rPr>
      </w:pPr>
    </w:p>
    <w:sectPr w:rsidR="00413F6D">
      <w:pgSz w:w="11910" w:h="16840"/>
      <w:pgMar w:top="900" w:right="1160" w:bottom="980" w:left="102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0F" w:rsidRDefault="000343F7">
      <w:r>
        <w:separator/>
      </w:r>
    </w:p>
  </w:endnote>
  <w:endnote w:type="continuationSeparator" w:id="0">
    <w:p w:rsidR="00D7120F" w:rsidRDefault="0003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D" w:rsidRDefault="000343F7">
    <w:pPr>
      <w:pStyle w:val="BodyText"/>
      <w:spacing w:line="14" w:lineRule="auto"/>
      <w:rPr>
        <w:i w:val="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3547110</wp:posOffset>
              </wp:positionH>
              <wp:positionV relativeFrom="page">
                <wp:posOffset>10056495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6D" w:rsidRDefault="000343F7">
                          <w:pPr>
                            <w:spacing w:before="12"/>
                            <w:ind w:left="60"/>
                            <w:rPr>
                              <w:sz w:val="24"/>
                            </w:rPr>
                          </w:pPr>
                          <w:r>
                            <w:fldChar w:fldCharType="begin"/>
                          </w:r>
                          <w:r>
                            <w:rPr>
                              <w:color w:val="0D0D0D"/>
                              <w:w w:val="99"/>
                              <w:sz w:val="24"/>
                            </w:rPr>
                            <w:instrText xml:space="preserve"> PAGE </w:instrText>
                          </w:r>
                          <w:r>
                            <w:fldChar w:fldCharType="separate"/>
                          </w:r>
                          <w:r w:rsidR="00957E90">
                            <w:rPr>
                              <w:noProof/>
                              <w:color w:val="0D0D0D"/>
                              <w:w w:val="99"/>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3pt;margin-top:791.8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" filled="f" stroked="f">
              <v:textbox inset="0,0,0,0">
                <w:txbxContent>
                  <w:p w:rsidR="00413F6D" w:rsidRDefault="000343F7">
                    <w:pPr>
                      <w:spacing w:before="12"/>
                      <w:ind w:left="60"/>
                      <w:rPr>
                        <w:sz w:val="24"/>
                      </w:rPr>
                    </w:pPr>
                    <w:r>
                      <w:fldChar w:fldCharType="begin"/>
                    </w:r>
                    <w:r>
                      <w:rPr>
                        <w:color w:val="0D0D0D"/>
                        <w:w w:val="99"/>
                        <w:sz w:val="24"/>
                      </w:rPr>
                      <w:instrText xml:space="preserve"> PAGE </w:instrText>
                    </w:r>
                    <w:r>
                      <w:fldChar w:fldCharType="separate"/>
                    </w:r>
                    <w:r w:rsidR="00957E90">
                      <w:rPr>
                        <w:noProof/>
                        <w:color w:val="0D0D0D"/>
                        <w:w w:val="99"/>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0F" w:rsidRDefault="000343F7">
      <w:r>
        <w:separator/>
      </w:r>
    </w:p>
  </w:footnote>
  <w:footnote w:type="continuationSeparator" w:id="0">
    <w:p w:rsidR="00D7120F" w:rsidRDefault="0003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6D"/>
    <w:rsid w:val="000343F7"/>
    <w:rsid w:val="00227052"/>
    <w:rsid w:val="00413F6D"/>
    <w:rsid w:val="006B66B4"/>
    <w:rsid w:val="007338A0"/>
    <w:rsid w:val="007B2973"/>
    <w:rsid w:val="00921C97"/>
    <w:rsid w:val="00957E90"/>
    <w:rsid w:val="00A358FF"/>
    <w:rsid w:val="00AB4067"/>
    <w:rsid w:val="00CA736E"/>
    <w:rsid w:val="00D7120F"/>
    <w:rsid w:val="00FB41BF"/>
    <w:rsid w:val="00FE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E877B"/>
  <w15:docId w15:val="{A4EAF502-D803-46A5-9AF3-0A46BB58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0"/>
      <w:ind w:left="112"/>
      <w:outlineLvl w:val="0"/>
    </w:pPr>
    <w:rPr>
      <w:b/>
      <w:bCs/>
      <w:sz w:val="32"/>
      <w:szCs w:val="32"/>
    </w:rPr>
  </w:style>
  <w:style w:type="paragraph" w:styleId="Heading2">
    <w:name w:val="heading 2"/>
    <w:basedOn w:val="Normal"/>
    <w:uiPriority w:val="1"/>
    <w:qFormat/>
    <w:pPr>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168"/>
    </w:pPr>
  </w:style>
  <w:style w:type="paragraph" w:customStyle="1" w:styleId="TableHeader">
    <w:name w:val="TableHeader"/>
    <w:rsid w:val="007B2973"/>
    <w:pPr>
      <w:widowControl/>
      <w:suppressAutoHyphens/>
      <w:autoSpaceDE/>
      <w:spacing w:before="60" w:after="60"/>
      <w:ind w:left="57" w:right="57"/>
      <w:jc w:val="center"/>
    </w:pPr>
    <w:rPr>
      <w:rFonts w:ascii="Arial" w:eastAsia="Times New Roman" w:hAnsi="Arial" w:cs="Times New Roman"/>
      <w:b/>
      <w:color w:val="0D0D0D"/>
      <w:sz w:val="24"/>
      <w:szCs w:val="24"/>
      <w:lang w:val="en-GB" w:eastAsia="en-GB"/>
    </w:rPr>
  </w:style>
  <w:style w:type="paragraph" w:customStyle="1" w:styleId="TableRow">
    <w:name w:val="TableRow"/>
    <w:rsid w:val="007B2973"/>
    <w:pPr>
      <w:widowControl/>
      <w:suppressAutoHyphens/>
      <w:autoSpaceDE/>
      <w:spacing w:before="60" w:after="60"/>
      <w:ind w:left="57" w:right="57"/>
    </w:pPr>
    <w:rPr>
      <w:rFonts w:ascii="Arial" w:eastAsia="Times New Roman" w:hAnsi="Arial" w:cs="Times New Roman"/>
      <w:color w:val="0D0D0D"/>
      <w:sz w:val="24"/>
      <w:szCs w:val="24"/>
      <w:lang w:val="en-GB" w:eastAsia="en-GB"/>
    </w:rPr>
  </w:style>
  <w:style w:type="paragraph" w:customStyle="1" w:styleId="TableRowCentered">
    <w:name w:val="TableRowCentered"/>
    <w:basedOn w:val="TableRow"/>
    <w:rsid w:val="007B2973"/>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l-assessment.co.uk/c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liz eccles</cp:lastModifiedBy>
  <cp:revision>2</cp:revision>
  <dcterms:created xsi:type="dcterms:W3CDTF">2023-01-13T13:50:00Z</dcterms:created>
  <dcterms:modified xsi:type="dcterms:W3CDTF">2023-01-13T13:50:00Z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2016</vt:lpwstr>
  </property>
  <property fmtid="{D5CDD505-2E9C-101B-9397-08002B2CF9AE}" pid="4" name="LastSaved">
    <vt:filetime>2022-09-27T00:00:00Z</vt:filetime>
  </property>
</Properties>
</file>